
<file path=[Content_Types].xml><?xml version="1.0" encoding="utf-8"?>
<Types xmlns="http://schemas.openxmlformats.org/package/2006/content-types">
  <Default Extension="xml" ContentType="application/xml"/>
  <Default Extension="png" ContentType="image/png"/>
  <Default Extension="jpeg" ContentType="image/jpe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before="190" w:beforeLines="50" w:after="190" w:afterLines="50" w:line="288" w:lineRule="auto"/>
        <w:contextualSpacing/>
        <w:jc w:val="left"/>
        <w:rPr>
          <w:rFonts w:ascii="宋体"/>
          <w:b/>
          <w:sz w:val="32"/>
          <w:szCs w:val="24"/>
        </w:rPr>
      </w:pPr>
      <w:r>
        <w:rPr>
          <w:rFonts w:hint="eastAsia" w:ascii="宋体" w:hAnsi="宋体"/>
          <w:b/>
          <w:sz w:val="32"/>
          <w:szCs w:val="24"/>
        </w:rPr>
        <w:t>附件</w:t>
      </w:r>
      <w:r>
        <w:rPr>
          <w:rFonts w:ascii="宋体" w:hAnsi="宋体"/>
          <w:b/>
          <w:sz w:val="32"/>
          <w:szCs w:val="24"/>
        </w:rPr>
        <w:t>-1</w:t>
      </w:r>
      <w:r>
        <w:rPr>
          <w:rFonts w:hint="eastAsia" w:ascii="宋体" w:hAnsi="宋体"/>
          <w:b/>
          <w:sz w:val="32"/>
          <w:szCs w:val="24"/>
        </w:rPr>
        <w:t>：</w:t>
      </w:r>
    </w:p>
    <w:p>
      <w:pPr>
        <w:snapToGrid w:val="0"/>
        <w:spacing w:before="190" w:beforeLines="50" w:after="190" w:afterLines="50" w:line="288" w:lineRule="auto"/>
        <w:contextualSpacing/>
        <w:jc w:val="left"/>
        <w:rPr>
          <w:rFonts w:ascii="宋体"/>
          <w:b/>
          <w:sz w:val="32"/>
          <w:szCs w:val="24"/>
        </w:rPr>
      </w:pPr>
    </w:p>
    <w:p>
      <w:pPr>
        <w:snapToGrid w:val="0"/>
        <w:spacing w:before="190" w:beforeLines="50" w:after="190" w:afterLines="50" w:line="288" w:lineRule="auto"/>
        <w:ind w:firstLine="640" w:firstLineChars="200"/>
        <w:contextualSpacing/>
        <w:jc w:val="center"/>
        <w:rPr>
          <w:rFonts w:ascii="宋体"/>
          <w:b/>
          <w:sz w:val="32"/>
          <w:szCs w:val="24"/>
        </w:rPr>
      </w:pPr>
      <w:r>
        <w:rPr>
          <w:rFonts w:ascii="宋体" w:hAnsi="宋体"/>
          <w:b/>
          <w:sz w:val="32"/>
          <w:szCs w:val="24"/>
        </w:rPr>
        <w:t>2020</w:t>
      </w:r>
      <w:r>
        <w:rPr>
          <w:rFonts w:hint="eastAsia" w:ascii="宋体" w:hAnsi="宋体"/>
          <w:b/>
          <w:sz w:val="32"/>
          <w:szCs w:val="24"/>
        </w:rPr>
        <w:t>年全国职业院校技能大赛（高职）河北选拔赛制造单元智能化改造与集成技术</w:t>
      </w:r>
      <w:r>
        <w:rPr>
          <w:rFonts w:hint="eastAsia" w:ascii="宋体" w:hAnsi="宋体"/>
          <w:b/>
          <w:sz w:val="32"/>
          <w:szCs w:val="24"/>
          <w:lang w:eastAsia="zh-CN"/>
        </w:rPr>
        <w:t>技能</w:t>
      </w:r>
      <w:r>
        <w:rPr>
          <w:rFonts w:hint="eastAsia" w:ascii="宋体" w:hAnsi="宋体"/>
          <w:b/>
          <w:sz w:val="32"/>
          <w:szCs w:val="24"/>
        </w:rPr>
        <w:t>大赛</w:t>
      </w:r>
      <w:r>
        <w:rPr>
          <w:rFonts w:hint="eastAsia" w:ascii="宋体" w:hAnsi="宋体"/>
          <w:b/>
          <w:sz w:val="32"/>
          <w:szCs w:val="24"/>
          <w:lang w:eastAsia="zh-CN"/>
        </w:rPr>
        <w:t>赛项</w:t>
      </w:r>
      <w:r>
        <w:rPr>
          <w:rFonts w:hint="eastAsia" w:ascii="宋体" w:hAnsi="宋体"/>
          <w:b/>
          <w:sz w:val="32"/>
          <w:szCs w:val="24"/>
        </w:rPr>
        <w:t>规程</w:t>
      </w:r>
    </w:p>
    <w:p>
      <w:pPr>
        <w:snapToGrid w:val="0"/>
        <w:spacing w:before="190" w:beforeLines="50" w:after="190" w:afterLines="50" w:line="288" w:lineRule="auto"/>
        <w:ind w:firstLine="480" w:firstLineChars="200"/>
        <w:contextualSpacing/>
        <w:rPr>
          <w:rFonts w:ascii="宋体" w:cs="仿宋"/>
          <w:b/>
          <w:sz w:val="24"/>
          <w:szCs w:val="24"/>
        </w:rPr>
      </w:pPr>
    </w:p>
    <w:p>
      <w:pPr>
        <w:snapToGrid w:val="0"/>
        <w:spacing w:before="190" w:beforeLines="50" w:after="190" w:afterLines="50" w:line="288" w:lineRule="auto"/>
        <w:ind w:firstLine="480" w:firstLineChars="200"/>
        <w:contextualSpacing/>
        <w:rPr>
          <w:rFonts w:ascii="宋体" w:cs="仿宋"/>
          <w:b/>
          <w:sz w:val="24"/>
          <w:szCs w:val="24"/>
        </w:rPr>
      </w:pPr>
      <w:r>
        <w:rPr>
          <w:rFonts w:hint="eastAsia" w:ascii="宋体" w:hAnsi="宋体" w:cs="仿宋"/>
          <w:b/>
          <w:sz w:val="24"/>
          <w:szCs w:val="24"/>
        </w:rPr>
        <w:t>一、</w:t>
      </w:r>
      <w:r>
        <w:rPr>
          <w:rFonts w:ascii="宋体" w:hAnsi="宋体" w:cs="仿宋"/>
          <w:b/>
          <w:sz w:val="24"/>
          <w:szCs w:val="24"/>
        </w:rPr>
        <w:t xml:space="preserve"> </w:t>
      </w:r>
      <w:r>
        <w:rPr>
          <w:rFonts w:hint="eastAsia" w:ascii="宋体" w:hAnsi="宋体" w:cs="仿宋"/>
          <w:b/>
          <w:sz w:val="24"/>
          <w:szCs w:val="24"/>
        </w:rPr>
        <w:t>比赛的职业、标准、方式和内容</w:t>
      </w:r>
    </w:p>
    <w:p>
      <w:pPr>
        <w:spacing w:line="288" w:lineRule="auto"/>
        <w:ind w:firstLine="480" w:firstLineChars="200"/>
        <w:contextualSpacing/>
        <w:rPr>
          <w:rStyle w:val="28"/>
          <w:rFonts w:ascii="宋体"/>
          <w:sz w:val="24"/>
          <w:szCs w:val="24"/>
        </w:rPr>
      </w:pPr>
      <w:r>
        <w:rPr>
          <w:rFonts w:hint="eastAsia" w:ascii="宋体" w:hAnsi="宋体"/>
          <w:sz w:val="24"/>
          <w:szCs w:val="24"/>
        </w:rPr>
        <w:t>（一）职业：可编程序控制系统设计师</w:t>
      </w:r>
      <w:r>
        <w:rPr>
          <w:rStyle w:val="21"/>
          <w:rFonts w:hint="eastAsia" w:ascii="宋体" w:hAnsi="宋体"/>
          <w:b w:val="0"/>
          <w:sz w:val="24"/>
          <w:szCs w:val="24"/>
        </w:rPr>
        <w:t>、</w:t>
      </w:r>
      <w:r>
        <w:rPr>
          <w:rFonts w:hint="eastAsia" w:ascii="宋体" w:hAnsi="宋体"/>
          <w:sz w:val="24"/>
          <w:szCs w:val="24"/>
        </w:rPr>
        <w:t>电气设备安装工</w:t>
      </w:r>
      <w:r>
        <w:rPr>
          <w:rStyle w:val="21"/>
          <w:rFonts w:hint="eastAsia" w:ascii="宋体" w:hAnsi="宋体"/>
          <w:b w:val="0"/>
          <w:sz w:val="24"/>
          <w:szCs w:val="24"/>
        </w:rPr>
        <w:t>、</w:t>
      </w:r>
      <w:r>
        <w:rPr>
          <w:rFonts w:hint="eastAsia" w:ascii="宋体" w:hAnsi="宋体"/>
          <w:sz w:val="24"/>
          <w:szCs w:val="24"/>
        </w:rPr>
        <w:t>机械设备安装工、数控机床操作工、计算机程序设计员等</w:t>
      </w:r>
      <w:r>
        <w:rPr>
          <w:rStyle w:val="28"/>
          <w:rFonts w:hint="eastAsia" w:ascii="宋体" w:hAnsi="宋体"/>
          <w:sz w:val="24"/>
          <w:szCs w:val="24"/>
        </w:rPr>
        <w:t>。</w:t>
      </w:r>
    </w:p>
    <w:p>
      <w:pPr>
        <w:spacing w:line="288" w:lineRule="auto"/>
        <w:ind w:firstLine="480" w:firstLineChars="200"/>
        <w:contextualSpacing/>
        <w:rPr>
          <w:rFonts w:ascii="宋体"/>
          <w:sz w:val="24"/>
          <w:szCs w:val="24"/>
        </w:rPr>
      </w:pPr>
      <w:r>
        <w:rPr>
          <w:rFonts w:hint="eastAsia" w:ascii="宋体" w:hAnsi="宋体"/>
          <w:sz w:val="24"/>
          <w:szCs w:val="24"/>
        </w:rPr>
        <w:t>（二）标准：</w:t>
      </w:r>
    </w:p>
    <w:tbl>
      <w:tblPr>
        <w:tblStyle w:val="18"/>
        <w:tblW w:w="0" w:type="auto"/>
        <w:jc w:val="center"/>
        <w:tblLayout w:type="fixed"/>
        <w:tblCellMar>
          <w:top w:w="0" w:type="dxa"/>
          <w:left w:w="0" w:type="dxa"/>
          <w:bottom w:w="0" w:type="dxa"/>
          <w:right w:w="0" w:type="dxa"/>
        </w:tblCellMar>
      </w:tblPr>
      <w:tblGrid>
        <w:gridCol w:w="806"/>
        <w:gridCol w:w="2625"/>
        <w:gridCol w:w="4803"/>
      </w:tblGrid>
      <w:tr>
        <w:tblPrEx>
          <w:tblCellMar>
            <w:top w:w="0" w:type="dxa"/>
            <w:left w:w="0" w:type="dxa"/>
            <w:bottom w:w="0" w:type="dxa"/>
            <w:right w:w="0" w:type="dxa"/>
          </w:tblCellMar>
        </w:tblPrEx>
        <w:trPr>
          <w:jc w:val="center"/>
        </w:trPr>
        <w:tc>
          <w:tcPr>
            <w:tcW w:w="806"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tcPr>
          <w:p>
            <w:pPr>
              <w:widowControl/>
              <w:spacing w:line="288" w:lineRule="auto"/>
              <w:contextualSpacing/>
              <w:jc w:val="center"/>
              <w:rPr>
                <w:rFonts w:ascii="宋体"/>
                <w:b/>
                <w:sz w:val="24"/>
                <w:szCs w:val="24"/>
              </w:rPr>
            </w:pPr>
            <w:r>
              <w:rPr>
                <w:rFonts w:hint="eastAsia" w:ascii="宋体" w:hAnsi="宋体"/>
                <w:b/>
                <w:sz w:val="24"/>
                <w:szCs w:val="24"/>
              </w:rPr>
              <w:t>序号</w:t>
            </w:r>
          </w:p>
        </w:tc>
        <w:tc>
          <w:tcPr>
            <w:tcW w:w="2625" w:type="dxa"/>
            <w:tcBorders>
              <w:top w:val="single" w:color="auto" w:sz="8" w:space="0"/>
              <w:left w:val="outset" w:color="000000" w:sz="6" w:space="0"/>
              <w:bottom w:val="single" w:color="auto" w:sz="8" w:space="0"/>
              <w:right w:val="single" w:color="auto" w:sz="8" w:space="0"/>
            </w:tcBorders>
            <w:tcMar>
              <w:top w:w="0" w:type="dxa"/>
              <w:left w:w="108" w:type="dxa"/>
              <w:bottom w:w="0" w:type="dxa"/>
              <w:right w:w="108" w:type="dxa"/>
            </w:tcMar>
          </w:tcPr>
          <w:p>
            <w:pPr>
              <w:widowControl/>
              <w:spacing w:line="288" w:lineRule="auto"/>
              <w:contextualSpacing/>
              <w:jc w:val="center"/>
              <w:rPr>
                <w:rFonts w:ascii="宋体"/>
                <w:b/>
                <w:sz w:val="24"/>
                <w:szCs w:val="24"/>
              </w:rPr>
            </w:pPr>
            <w:r>
              <w:rPr>
                <w:rFonts w:hint="eastAsia" w:ascii="宋体" w:hAnsi="宋体"/>
                <w:b/>
                <w:sz w:val="24"/>
                <w:szCs w:val="24"/>
              </w:rPr>
              <w:t>标准号</w:t>
            </w:r>
          </w:p>
        </w:tc>
        <w:tc>
          <w:tcPr>
            <w:tcW w:w="4803" w:type="dxa"/>
            <w:tcBorders>
              <w:top w:val="single" w:color="auto" w:sz="8" w:space="0"/>
              <w:left w:val="outset" w:color="000000" w:sz="6" w:space="0"/>
              <w:bottom w:val="single" w:color="auto" w:sz="8" w:space="0"/>
              <w:right w:val="single" w:color="auto" w:sz="8" w:space="0"/>
            </w:tcBorders>
            <w:tcMar>
              <w:top w:w="0" w:type="dxa"/>
              <w:left w:w="108" w:type="dxa"/>
              <w:bottom w:w="0" w:type="dxa"/>
              <w:right w:w="108" w:type="dxa"/>
            </w:tcMar>
          </w:tcPr>
          <w:p>
            <w:pPr>
              <w:widowControl/>
              <w:spacing w:line="288" w:lineRule="auto"/>
              <w:contextualSpacing/>
              <w:jc w:val="center"/>
              <w:rPr>
                <w:rFonts w:ascii="宋体"/>
                <w:b/>
                <w:sz w:val="24"/>
                <w:szCs w:val="24"/>
              </w:rPr>
            </w:pPr>
            <w:r>
              <w:rPr>
                <w:rFonts w:hint="eastAsia" w:ascii="宋体" w:hAnsi="宋体"/>
                <w:b/>
                <w:sz w:val="24"/>
                <w:szCs w:val="24"/>
              </w:rPr>
              <w:t>中文标准名称</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single" w:color="auto" w:sz="8"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hAnsi="宋体"/>
                <w:sz w:val="24"/>
                <w:szCs w:val="24"/>
              </w:rPr>
            </w:pPr>
            <w:r>
              <w:rPr>
                <w:rFonts w:ascii="宋体" w:hAnsi="宋体"/>
                <w:sz w:val="24"/>
                <w:szCs w:val="24"/>
              </w:rPr>
              <w:t>1</w:t>
            </w:r>
          </w:p>
        </w:tc>
        <w:tc>
          <w:tcPr>
            <w:tcW w:w="2625" w:type="dxa"/>
            <w:tcBorders>
              <w:top w:val="outset" w:color="000000" w:sz="6" w:space="0"/>
              <w:left w:val="outset" w:color="000000" w:sz="6" w:space="0"/>
              <w:bottom w:val="single" w:color="auto" w:sz="8"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GB/T 30976.1-30976.2</w:t>
            </w:r>
          </w:p>
        </w:tc>
        <w:tc>
          <w:tcPr>
            <w:tcW w:w="4803" w:type="dxa"/>
            <w:tcBorders>
              <w:top w:val="outset" w:color="000000" w:sz="6" w:space="0"/>
              <w:left w:val="outset" w:color="000000" w:sz="6" w:space="0"/>
              <w:bottom w:val="single" w:color="auto" w:sz="8"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工业控制系统信息安全</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single" w:color="auto" w:sz="8"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hAnsi="宋体"/>
                <w:sz w:val="24"/>
                <w:szCs w:val="24"/>
              </w:rPr>
            </w:pPr>
            <w:r>
              <w:rPr>
                <w:rFonts w:ascii="宋体" w:hAnsi="宋体"/>
                <w:sz w:val="24"/>
                <w:szCs w:val="24"/>
              </w:rPr>
              <w:t>2</w:t>
            </w:r>
          </w:p>
        </w:tc>
        <w:tc>
          <w:tcPr>
            <w:tcW w:w="2625" w:type="dxa"/>
            <w:tcBorders>
              <w:top w:val="outset" w:color="000000" w:sz="6" w:space="0"/>
              <w:left w:val="outset" w:color="000000" w:sz="6" w:space="0"/>
              <w:bottom w:val="single" w:color="auto" w:sz="8"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GB/T 16977-2005</w:t>
            </w:r>
          </w:p>
        </w:tc>
        <w:tc>
          <w:tcPr>
            <w:tcW w:w="4803" w:type="dxa"/>
            <w:tcBorders>
              <w:top w:val="outset" w:color="000000" w:sz="6" w:space="0"/>
              <w:left w:val="outset" w:color="000000" w:sz="6" w:space="0"/>
              <w:bottom w:val="single" w:color="auto" w:sz="8"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工业机器人坐标系和运动命名原则</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hAnsi="宋体"/>
                <w:sz w:val="24"/>
                <w:szCs w:val="24"/>
              </w:rPr>
            </w:pPr>
            <w:r>
              <w:rPr>
                <w:rFonts w:ascii="宋体" w:hAnsi="宋体"/>
                <w:sz w:val="24"/>
                <w:szCs w:val="24"/>
              </w:rPr>
              <w:t>3</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GB/T 19399-2003</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工业机器人编程和操作图形用户接口</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4</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 11291-1997</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工业机器人安全规范</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5</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GB/T 14284-1993</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工业机器人通用技术标准</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6</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GB/T 5465.2-1996</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电气设备用图形符号</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7</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 5226.1-2002</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机械安全</w:t>
            </w:r>
            <w:r>
              <w:rPr>
                <w:rFonts w:ascii="宋体" w:hAnsi="宋体"/>
                <w:sz w:val="24"/>
                <w:szCs w:val="24"/>
              </w:rPr>
              <w:t xml:space="preserve"> </w:t>
            </w:r>
            <w:r>
              <w:rPr>
                <w:rFonts w:hint="eastAsia" w:ascii="宋体" w:hAnsi="宋体"/>
                <w:sz w:val="24"/>
                <w:szCs w:val="24"/>
              </w:rPr>
              <w:t>机械电气设备</w:t>
            </w:r>
            <w:r>
              <w:rPr>
                <w:rFonts w:ascii="宋体" w:hAnsi="宋体"/>
                <w:sz w:val="24"/>
                <w:szCs w:val="24"/>
              </w:rPr>
              <w:t xml:space="preserve"> </w:t>
            </w:r>
            <w:r>
              <w:rPr>
                <w:rFonts w:hint="eastAsia" w:ascii="宋体" w:hAnsi="宋体"/>
                <w:sz w:val="24"/>
                <w:szCs w:val="24"/>
              </w:rPr>
              <w:t>第</w:t>
            </w:r>
            <w:r>
              <w:rPr>
                <w:rFonts w:ascii="宋体" w:hAnsi="宋体"/>
                <w:sz w:val="24"/>
                <w:szCs w:val="24"/>
              </w:rPr>
              <w:t>1</w:t>
            </w:r>
            <w:r>
              <w:rPr>
                <w:rFonts w:hint="eastAsia" w:ascii="宋体" w:hAnsi="宋体"/>
                <w:sz w:val="24"/>
                <w:szCs w:val="24"/>
              </w:rPr>
              <w:t>部分</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8</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GB/Z 20830-2007</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基于</w:t>
            </w:r>
            <w:r>
              <w:rPr>
                <w:rFonts w:ascii="宋体" w:hAnsi="宋体"/>
                <w:sz w:val="24"/>
                <w:szCs w:val="24"/>
              </w:rPr>
              <w:t>PROFIBUS DP</w:t>
            </w:r>
            <w:r>
              <w:rPr>
                <w:rFonts w:hint="eastAsia" w:ascii="宋体" w:hAnsi="宋体"/>
                <w:sz w:val="24"/>
                <w:szCs w:val="24"/>
              </w:rPr>
              <w:t>和</w:t>
            </w:r>
            <w:r>
              <w:rPr>
                <w:rFonts w:ascii="宋体" w:hAnsi="宋体"/>
                <w:sz w:val="24"/>
                <w:szCs w:val="24"/>
              </w:rPr>
              <w:t>PROFINET IO</w:t>
            </w:r>
            <w:r>
              <w:rPr>
                <w:rFonts w:hint="eastAsia" w:ascii="宋体" w:hAnsi="宋体"/>
                <w:sz w:val="24"/>
                <w:szCs w:val="24"/>
              </w:rPr>
              <w:t>的功能安全通信行规</w:t>
            </w:r>
            <w:r>
              <w:rPr>
                <w:rFonts w:ascii="宋体" w:hAnsi="宋体"/>
                <w:sz w:val="24"/>
                <w:szCs w:val="24"/>
              </w:rPr>
              <w:t>-PROFIsafe</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9</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GB/T 16657.2-2008</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工业通信网络</w:t>
            </w:r>
            <w:r>
              <w:rPr>
                <w:rFonts w:ascii="宋体" w:hAnsi="宋体"/>
                <w:sz w:val="24"/>
                <w:szCs w:val="24"/>
              </w:rPr>
              <w:t xml:space="preserve"> </w:t>
            </w:r>
            <w:r>
              <w:rPr>
                <w:rFonts w:hint="eastAsia" w:ascii="宋体" w:hAnsi="宋体"/>
                <w:sz w:val="24"/>
                <w:szCs w:val="24"/>
              </w:rPr>
              <w:t>现场总线规范</w:t>
            </w:r>
            <w:r>
              <w:rPr>
                <w:rFonts w:ascii="宋体" w:hAnsi="宋体"/>
                <w:sz w:val="24"/>
                <w:szCs w:val="24"/>
              </w:rPr>
              <w:t xml:space="preserve"> </w:t>
            </w:r>
            <w:r>
              <w:rPr>
                <w:rFonts w:hint="eastAsia" w:ascii="宋体" w:hAnsi="宋体"/>
                <w:sz w:val="24"/>
                <w:szCs w:val="24"/>
              </w:rPr>
              <w:t>第</w:t>
            </w:r>
            <w:r>
              <w:rPr>
                <w:rFonts w:ascii="宋体" w:hAnsi="宋体"/>
                <w:sz w:val="24"/>
                <w:szCs w:val="24"/>
              </w:rPr>
              <w:t>2</w:t>
            </w:r>
            <w:r>
              <w:rPr>
                <w:rFonts w:hint="eastAsia" w:ascii="宋体" w:hAnsi="宋体"/>
                <w:sz w:val="24"/>
                <w:szCs w:val="24"/>
              </w:rPr>
              <w:t>部分</w:t>
            </w:r>
            <w:r>
              <w:rPr>
                <w:rFonts w:ascii="宋体" w:hAnsi="宋体"/>
                <w:sz w:val="24"/>
                <w:szCs w:val="24"/>
              </w:rPr>
              <w:t xml:space="preserve">: </w:t>
            </w:r>
            <w:r>
              <w:rPr>
                <w:rFonts w:hint="eastAsia" w:ascii="宋体" w:hAnsi="宋体"/>
                <w:sz w:val="24"/>
                <w:szCs w:val="24"/>
              </w:rPr>
              <w:t>物理层规范和服务定义</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10</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GB/Z 25105.3-2010</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工业通信网络</w:t>
            </w:r>
            <w:r>
              <w:rPr>
                <w:rFonts w:ascii="宋体" w:hAnsi="宋体"/>
                <w:sz w:val="24"/>
                <w:szCs w:val="24"/>
              </w:rPr>
              <w:t xml:space="preserve"> </w:t>
            </w:r>
            <w:r>
              <w:rPr>
                <w:rFonts w:hint="eastAsia" w:ascii="宋体" w:hAnsi="宋体"/>
                <w:sz w:val="24"/>
                <w:szCs w:val="24"/>
              </w:rPr>
              <w:t>现场总线规范</w:t>
            </w:r>
            <w:r>
              <w:rPr>
                <w:rFonts w:ascii="宋体" w:hAnsi="宋体"/>
                <w:sz w:val="24"/>
                <w:szCs w:val="24"/>
              </w:rPr>
              <w:t xml:space="preserve"> </w:t>
            </w:r>
            <w:r>
              <w:rPr>
                <w:rFonts w:hint="eastAsia" w:ascii="宋体" w:hAnsi="宋体"/>
                <w:sz w:val="24"/>
                <w:szCs w:val="24"/>
              </w:rPr>
              <w:t>类型</w:t>
            </w:r>
            <w:r>
              <w:rPr>
                <w:rFonts w:ascii="宋体" w:hAnsi="宋体"/>
                <w:sz w:val="24"/>
                <w:szCs w:val="24"/>
              </w:rPr>
              <w:t xml:space="preserve">10: PROFINET IO </w:t>
            </w:r>
            <w:r>
              <w:rPr>
                <w:rFonts w:hint="eastAsia" w:ascii="宋体" w:hAnsi="宋体"/>
                <w:sz w:val="24"/>
                <w:szCs w:val="24"/>
              </w:rPr>
              <w:t>规范</w:t>
            </w:r>
            <w:r>
              <w:rPr>
                <w:rFonts w:ascii="宋体" w:hAnsi="宋体"/>
                <w:sz w:val="24"/>
                <w:szCs w:val="24"/>
              </w:rPr>
              <w:t xml:space="preserve"> </w:t>
            </w:r>
            <w:r>
              <w:rPr>
                <w:rFonts w:hint="eastAsia" w:ascii="宋体" w:hAnsi="宋体"/>
                <w:sz w:val="24"/>
                <w:szCs w:val="24"/>
              </w:rPr>
              <w:t>第</w:t>
            </w:r>
            <w:r>
              <w:rPr>
                <w:rFonts w:ascii="宋体" w:hAnsi="宋体"/>
                <w:sz w:val="24"/>
                <w:szCs w:val="24"/>
              </w:rPr>
              <w:t>3</w:t>
            </w:r>
            <w:r>
              <w:rPr>
                <w:rFonts w:hint="eastAsia" w:ascii="宋体" w:hAnsi="宋体"/>
                <w:sz w:val="24"/>
                <w:szCs w:val="24"/>
              </w:rPr>
              <w:t>部分</w:t>
            </w:r>
            <w:r>
              <w:rPr>
                <w:rFonts w:ascii="宋体" w:hAnsi="宋体"/>
                <w:sz w:val="24"/>
                <w:szCs w:val="24"/>
              </w:rPr>
              <w:t xml:space="preserve">: PROFINET IO </w:t>
            </w:r>
            <w:r>
              <w:rPr>
                <w:rFonts w:hint="eastAsia" w:ascii="宋体" w:hAnsi="宋体"/>
                <w:sz w:val="24"/>
                <w:szCs w:val="24"/>
              </w:rPr>
              <w:t>通信行规</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11</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GB/T 18725-2008</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制造业信息化</w:t>
            </w:r>
            <w:r>
              <w:rPr>
                <w:rFonts w:ascii="宋体" w:hAnsi="宋体"/>
                <w:sz w:val="24"/>
                <w:szCs w:val="24"/>
              </w:rPr>
              <w:t xml:space="preserve"> </w:t>
            </w:r>
            <w:r>
              <w:rPr>
                <w:rFonts w:hint="eastAsia" w:ascii="宋体" w:hAnsi="宋体"/>
                <w:sz w:val="24"/>
                <w:szCs w:val="24"/>
              </w:rPr>
              <w:t>技术术语</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12</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 21746-2008</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教学仪器设备安全要求总则</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13</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GB21748-2008</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教学仪器设备安全要求</w:t>
            </w:r>
            <w:r>
              <w:rPr>
                <w:rFonts w:ascii="宋体" w:hAnsi="宋体"/>
                <w:sz w:val="24"/>
                <w:szCs w:val="24"/>
              </w:rPr>
              <w:t xml:space="preserve"> </w:t>
            </w:r>
            <w:r>
              <w:rPr>
                <w:rFonts w:hint="eastAsia" w:ascii="宋体" w:hAnsi="宋体"/>
                <w:sz w:val="24"/>
                <w:szCs w:val="24"/>
              </w:rPr>
              <w:t>仪器和零部件的基本要求</w:t>
            </w:r>
          </w:p>
        </w:tc>
      </w:tr>
      <w:tr>
        <w:tblPrEx>
          <w:tblCellMar>
            <w:top w:w="0" w:type="dxa"/>
            <w:left w:w="0" w:type="dxa"/>
            <w:bottom w:w="0" w:type="dxa"/>
            <w:right w:w="0" w:type="dxa"/>
          </w:tblCellMar>
        </w:tblPrEx>
        <w:trPr>
          <w:jc w:val="center"/>
        </w:trPr>
        <w:tc>
          <w:tcPr>
            <w:tcW w:w="806" w:type="dxa"/>
            <w:tcBorders>
              <w:top w:val="outset" w:color="000000" w:sz="6" w:space="0"/>
              <w:left w:val="single" w:color="auto" w:sz="8"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center"/>
              <w:rPr>
                <w:rFonts w:ascii="宋体"/>
                <w:sz w:val="24"/>
                <w:szCs w:val="24"/>
              </w:rPr>
            </w:pPr>
            <w:r>
              <w:rPr>
                <w:rFonts w:ascii="宋体" w:hAnsi="宋体"/>
                <w:sz w:val="24"/>
                <w:szCs w:val="24"/>
              </w:rPr>
              <w:t>14</w:t>
            </w:r>
          </w:p>
        </w:tc>
        <w:tc>
          <w:tcPr>
            <w:tcW w:w="2625"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ascii="宋体" w:hAnsi="宋体"/>
                <w:sz w:val="24"/>
                <w:szCs w:val="24"/>
              </w:rPr>
              <w:t>JB/T 8832.1-2001</w:t>
            </w:r>
          </w:p>
        </w:tc>
        <w:tc>
          <w:tcPr>
            <w:tcW w:w="4803" w:type="dxa"/>
            <w:tcBorders>
              <w:top w:val="outset" w:color="000000" w:sz="6" w:space="0"/>
              <w:left w:val="outset" w:color="000000" w:sz="6" w:space="0"/>
              <w:bottom w:val="outset" w:color="000000" w:sz="6" w:space="0"/>
              <w:right w:val="single" w:color="auto" w:sz="8" w:space="0"/>
            </w:tcBorders>
            <w:tcMar>
              <w:top w:w="0" w:type="dxa"/>
              <w:left w:w="108" w:type="dxa"/>
              <w:bottom w:w="0" w:type="dxa"/>
              <w:right w:w="108" w:type="dxa"/>
            </w:tcMar>
            <w:vAlign w:val="center"/>
          </w:tcPr>
          <w:p>
            <w:pPr>
              <w:widowControl/>
              <w:spacing w:line="288" w:lineRule="auto"/>
              <w:contextualSpacing/>
              <w:jc w:val="left"/>
              <w:rPr>
                <w:rFonts w:ascii="宋体"/>
                <w:sz w:val="24"/>
                <w:szCs w:val="24"/>
              </w:rPr>
            </w:pPr>
            <w:r>
              <w:rPr>
                <w:rFonts w:hint="eastAsia" w:ascii="宋体" w:hAnsi="宋体"/>
                <w:sz w:val="24"/>
                <w:szCs w:val="24"/>
              </w:rPr>
              <w:t>机床数控系统</w:t>
            </w:r>
            <w:r>
              <w:rPr>
                <w:rFonts w:ascii="宋体" w:hAnsi="宋体"/>
                <w:sz w:val="24"/>
                <w:szCs w:val="24"/>
              </w:rPr>
              <w:t xml:space="preserve"> </w:t>
            </w:r>
            <w:r>
              <w:rPr>
                <w:rFonts w:hint="eastAsia" w:ascii="宋体" w:hAnsi="宋体"/>
                <w:sz w:val="24"/>
                <w:szCs w:val="24"/>
              </w:rPr>
              <w:t>通用技术条件</w:t>
            </w:r>
          </w:p>
        </w:tc>
      </w:tr>
    </w:tbl>
    <w:p>
      <w:pPr>
        <w:spacing w:line="288" w:lineRule="auto"/>
        <w:ind w:firstLine="480" w:firstLineChars="200"/>
        <w:contextualSpacing/>
        <w:rPr>
          <w:rFonts w:ascii="宋体"/>
          <w:sz w:val="24"/>
          <w:szCs w:val="24"/>
        </w:rPr>
      </w:pPr>
      <w:r>
        <w:rPr>
          <w:rFonts w:hint="eastAsia" w:ascii="宋体" w:hAnsi="宋体"/>
          <w:sz w:val="24"/>
          <w:szCs w:val="24"/>
        </w:rPr>
        <w:t>（三）比赛方式</w:t>
      </w:r>
    </w:p>
    <w:p>
      <w:pPr>
        <w:tabs>
          <w:tab w:val="left" w:pos="7310"/>
        </w:tabs>
        <w:spacing w:line="288" w:lineRule="auto"/>
        <w:ind w:firstLine="480" w:firstLineChars="200"/>
        <w:contextualSpacing/>
        <w:rPr>
          <w:color w:val="000000"/>
          <w:sz w:val="24"/>
          <w:szCs w:val="24"/>
        </w:rPr>
      </w:pPr>
      <w:r>
        <w:rPr>
          <w:color w:val="000000"/>
          <w:sz w:val="24"/>
          <w:szCs w:val="24"/>
        </w:rPr>
        <w:t>1.</w:t>
      </w:r>
      <w:r>
        <w:rPr>
          <w:rFonts w:hint="eastAsia"/>
        </w:rPr>
        <w:t xml:space="preserve"> </w:t>
      </w:r>
      <w:r>
        <w:rPr>
          <w:rFonts w:hint="eastAsia"/>
          <w:color w:val="000000"/>
          <w:sz w:val="24"/>
          <w:szCs w:val="24"/>
        </w:rPr>
        <w:t>竞赛以团体赛方式进行。每支参赛队3名选手，参赛选手必须是2019年度高等职业学校全日制在籍学生或五年制高职四至五年级（含四年级）全日制在籍学生，不限性别，年龄须不超过25周岁，年龄计算的截止时间以2019年12月1日为准。往届全国职业院校技能大赛中获一等奖的选手，不得参加同一赛项同一组别的赛项。</w:t>
      </w:r>
    </w:p>
    <w:p>
      <w:pPr>
        <w:pStyle w:val="30"/>
        <w:tabs>
          <w:tab w:val="left" w:pos="7310"/>
        </w:tabs>
        <w:spacing w:line="288" w:lineRule="auto"/>
        <w:ind w:firstLine="480"/>
        <w:contextualSpacing/>
        <w:rPr>
          <w:color w:val="000000"/>
          <w:sz w:val="24"/>
          <w:szCs w:val="24"/>
        </w:rPr>
      </w:pPr>
      <w:r>
        <w:rPr>
          <w:color w:val="000000"/>
          <w:sz w:val="24"/>
          <w:szCs w:val="24"/>
        </w:rPr>
        <w:t>2.</w:t>
      </w:r>
      <w:r>
        <w:rPr>
          <w:rFonts w:hint="eastAsia"/>
        </w:rPr>
        <w:t xml:space="preserve"> </w:t>
      </w:r>
      <w:r>
        <w:rPr>
          <w:rFonts w:hint="eastAsia"/>
          <w:color w:val="000000"/>
          <w:sz w:val="24"/>
          <w:szCs w:val="24"/>
        </w:rPr>
        <w:t>竞赛队伍组成：由河北省各高等职业院校为单位组队参赛，同一学校相同项目报名参赛队不超过2支，不得跨校组队；指导教师须为本校专兼职教师，每队限报2名指导教师。</w:t>
      </w:r>
    </w:p>
    <w:p>
      <w:pPr>
        <w:spacing w:line="288" w:lineRule="auto"/>
        <w:ind w:firstLine="480" w:firstLineChars="200"/>
        <w:contextualSpacing/>
        <w:rPr>
          <w:rFonts w:ascii="宋体"/>
          <w:sz w:val="24"/>
          <w:szCs w:val="24"/>
        </w:rPr>
      </w:pPr>
      <w:r>
        <w:rPr>
          <w:rFonts w:hint="eastAsia" w:ascii="宋体" w:hAnsi="宋体"/>
          <w:sz w:val="24"/>
          <w:szCs w:val="24"/>
        </w:rPr>
        <w:t>（四）比赛内容</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本赛项以汽车行业轮毂的生产制造为背景，采用智能制造技术完成制造单元系统的改造与集成，充分体现“两化深度融合”在传统制造业升级改造中的技术应用。竞赛过程中，选手需要根据任务书要求，自行设计实施方案，在三维软件中搭建竞赛平台并完成产品生产流程仿真，完成真实竞赛平台的系统搭建和线路连接，对工业机器人进行点位示教和控制程序编制，对数控系统进行加工程序编制和通讯参数设置，对视觉系统进行检测识别参数设定和优化，对可编程控制器进行控制程序编制及调试，从而实现轮毂产品根据不同的生产工艺要求及订单需求，完成仓库存储、数控加工、打磨加工、检测识别、分拣入位等工艺流程，通过制造执行系统对生产过程信息和设备状态实时采集和可视化显示，智能终端利用云端实现安全的制造数据远程监控。</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本赛项主要考察选手对于可编程控制器、工业机器人、数控系统、集成视觉等控制设备的编程调试和复杂机电设备系统联调的自动化能力，兼顾考核选手在工业网络及数据归档处理的信息化能力，充分考验选手面对复杂任务要求的分析处理以及解决方案的制定实施能力，展现选手的综合职业素质和创新水平。</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本赛项采用团体比赛方式，3名选手在5小时内协作完成如下竞赛任务。</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任务一 制造单元改造方案设计（15%）</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参考制造流程要求，细化完整的生产工艺路径，将工序内容与实现设备一一对应；在场地面积条件下，合理设计单元的布局形式，完成完整工序内容；根据工序流程和控制系统要求，确定控制网络结构；利用虚拟仿真软件，在三维环境中按照设计的布局形式，搭建硬件环境，规划功能单元的动作轨迹，仿真验证布局设计有效性。</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任务二 硬件搭建及电气接线（10%）</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根据集成设计方案，将所选的功能单元按照布局规划拼接固定；根据功能要求，完成各单元的机械安装、电气接线、气动连接、控制网络线路部署等内容；手动测试单元功能动作正确。</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任务三 制造单元的系统集成（35%）</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对PLC控制器和远程IO进行组态操作，满足控制设计要求；对PLC、工业机器人、数控系统、视觉系统编程调试，分别实现工业机器人更换不同工具、工业机器人从立体仓库中拾取零件、工业机器人将待加工零件放入/取出数控机床、选取指定加工程序完成加工任务、工业机器人对零件表面打磨加工、视觉系统对零件产品加工结果的检测与判别、对零件进行分拣入位等功能动作。</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任务四 控制网络的集成调试（30%）</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根据产品生产制造流程，对立体库、工业机器人、数控系统进行编程联调，利用物联网、工业以太网实现产品、设备和控制器之间的信息交互，满足加工流程自动化；合理优化程序逻辑和设备运行参数，满足任务的生产效率要求，可对异常情况进行监控并做出合理判断，确保生产安全；利用MES系统开发平台完成信息采集、产品数据追溯、制造流程可视化、设备状态可视化等功能模块，并完成智能制造单元的功能流程控制操作面板开发，实现对生产流程控制。</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任务五 云端数据服务的调试（5%）</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在MES系统开发平台中，将任务要求的生产流程数据、设备状态信息存储到指定的云服务器中，可使智能终端实时获取数据并图形化显示；在MES系统开发平台中，将智能制造单元的功能流程控制接口开放到云服务器中，在网络安全、用户认证后，可使智能终端远程控制单元制造加工。</w:t>
      </w:r>
    </w:p>
    <w:p>
      <w:pPr>
        <w:spacing w:line="288" w:lineRule="auto"/>
        <w:ind w:firstLine="480" w:firstLineChars="200"/>
        <w:contextualSpacing/>
        <w:rPr>
          <w:rFonts w:ascii="宋体" w:hAnsi="宋体"/>
          <w:color w:val="000000"/>
          <w:sz w:val="24"/>
          <w:szCs w:val="24"/>
        </w:rPr>
      </w:pPr>
      <w:r>
        <w:rPr>
          <w:rFonts w:hint="eastAsia" w:ascii="宋体" w:hAnsi="宋体"/>
          <w:color w:val="000000"/>
          <w:sz w:val="24"/>
          <w:szCs w:val="24"/>
        </w:rPr>
        <w:t>任务六 职业素养（5%）</w:t>
      </w:r>
    </w:p>
    <w:p>
      <w:pPr>
        <w:spacing w:line="288" w:lineRule="auto"/>
        <w:ind w:firstLine="480" w:firstLineChars="200"/>
        <w:contextualSpacing/>
        <w:rPr>
          <w:rFonts w:ascii="宋体"/>
          <w:color w:val="000000"/>
          <w:sz w:val="24"/>
          <w:szCs w:val="24"/>
        </w:rPr>
      </w:pPr>
      <w:r>
        <w:rPr>
          <w:rFonts w:hint="eastAsia" w:ascii="宋体" w:hAnsi="宋体"/>
          <w:color w:val="000000"/>
          <w:sz w:val="24"/>
          <w:szCs w:val="24"/>
        </w:rPr>
        <w:t>竞赛过程中，对参赛选手的技术应用合理性、工具操作规范性、机械电气工艺规范性、耗材使用环保性、功耗控制节能性以及赛场安全、文明生产等进行综合评价。</w:t>
      </w:r>
    </w:p>
    <w:p>
      <w:pPr>
        <w:snapToGrid w:val="0"/>
        <w:spacing w:before="190" w:beforeLines="50" w:after="190" w:afterLines="50" w:line="288" w:lineRule="auto"/>
        <w:ind w:firstLine="480" w:firstLineChars="200"/>
        <w:contextualSpacing/>
        <w:rPr>
          <w:rFonts w:ascii="宋体" w:cs="仿宋"/>
          <w:b/>
          <w:sz w:val="24"/>
          <w:szCs w:val="24"/>
        </w:rPr>
      </w:pPr>
      <w:r>
        <w:rPr>
          <w:rFonts w:hint="eastAsia" w:ascii="宋体" w:hAnsi="宋体" w:cs="仿宋"/>
          <w:b/>
          <w:sz w:val="24"/>
          <w:szCs w:val="24"/>
        </w:rPr>
        <w:t>二、比赛的软硬件环境</w:t>
      </w:r>
    </w:p>
    <w:p>
      <w:pPr>
        <w:spacing w:line="288" w:lineRule="auto"/>
        <w:ind w:firstLine="480" w:firstLineChars="200"/>
        <w:contextualSpacing/>
        <w:rPr>
          <w:rFonts w:ascii="宋体"/>
          <w:b/>
          <w:sz w:val="24"/>
          <w:szCs w:val="24"/>
        </w:rPr>
      </w:pPr>
      <w:r>
        <w:rPr>
          <w:rFonts w:hint="eastAsia" w:ascii="宋体" w:hAnsi="宋体"/>
          <w:b/>
          <w:color w:val="000000"/>
          <w:sz w:val="24"/>
          <w:szCs w:val="24"/>
        </w:rPr>
        <w:t>（</w:t>
      </w:r>
      <w:r>
        <w:rPr>
          <w:rFonts w:ascii="宋体" w:hAnsi="宋体"/>
          <w:b/>
          <w:color w:val="000000"/>
          <w:sz w:val="24"/>
          <w:szCs w:val="24"/>
        </w:rPr>
        <w:t>1</w:t>
      </w:r>
      <w:r>
        <w:rPr>
          <w:rFonts w:hint="eastAsia" w:ascii="宋体" w:hAnsi="宋体"/>
          <w:b/>
          <w:color w:val="000000"/>
          <w:sz w:val="24"/>
          <w:szCs w:val="24"/>
        </w:rPr>
        <w:t>）硬件环境</w:t>
      </w:r>
      <w:r>
        <w:rPr>
          <w:rFonts w:hint="eastAsia" w:ascii="宋体" w:hAnsi="宋体"/>
          <w:b/>
          <w:sz w:val="24"/>
          <w:szCs w:val="24"/>
        </w:rPr>
        <w:t>（每个竞赛工位）</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8"/>
        <w:gridCol w:w="4585"/>
        <w:gridCol w:w="1855"/>
        <w:gridCol w:w="20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007" w:type="dxa"/>
            <w:vAlign w:val="center"/>
          </w:tcPr>
          <w:p>
            <w:pPr>
              <w:widowControl/>
              <w:spacing w:line="288" w:lineRule="auto"/>
              <w:contextualSpacing/>
              <w:jc w:val="center"/>
              <w:rPr>
                <w:rFonts w:ascii="宋体" w:cs="宋体"/>
                <w:b/>
                <w:bCs/>
                <w:color w:val="000000"/>
                <w:kern w:val="0"/>
                <w:sz w:val="24"/>
                <w:szCs w:val="24"/>
              </w:rPr>
            </w:pPr>
            <w:r>
              <w:rPr>
                <w:rFonts w:hint="eastAsia" w:ascii="宋体" w:hAnsi="宋体" w:cs="宋体"/>
                <w:b/>
                <w:bCs/>
                <w:color w:val="000000"/>
                <w:kern w:val="0"/>
                <w:sz w:val="24"/>
                <w:szCs w:val="24"/>
              </w:rPr>
              <w:t>序号</w:t>
            </w:r>
          </w:p>
        </w:tc>
        <w:tc>
          <w:tcPr>
            <w:tcW w:w="4124" w:type="dxa"/>
            <w:vAlign w:val="center"/>
          </w:tcPr>
          <w:p>
            <w:pPr>
              <w:widowControl/>
              <w:spacing w:line="288" w:lineRule="auto"/>
              <w:contextualSpacing/>
              <w:jc w:val="center"/>
              <w:rPr>
                <w:rFonts w:ascii="宋体" w:cs="宋体"/>
                <w:b/>
                <w:bCs/>
                <w:color w:val="000000"/>
                <w:kern w:val="0"/>
                <w:sz w:val="24"/>
                <w:szCs w:val="24"/>
              </w:rPr>
            </w:pPr>
            <w:r>
              <w:rPr>
                <w:rFonts w:hint="eastAsia" w:ascii="宋体" w:hAnsi="宋体" w:cs="宋体"/>
                <w:b/>
                <w:bCs/>
                <w:color w:val="000000"/>
                <w:kern w:val="0"/>
                <w:sz w:val="24"/>
                <w:szCs w:val="24"/>
              </w:rPr>
              <w:t>设备名称</w:t>
            </w:r>
          </w:p>
        </w:tc>
        <w:tc>
          <w:tcPr>
            <w:tcW w:w="1668" w:type="dxa"/>
            <w:vAlign w:val="center"/>
          </w:tcPr>
          <w:p>
            <w:pPr>
              <w:widowControl/>
              <w:spacing w:line="288" w:lineRule="auto"/>
              <w:contextualSpacing/>
              <w:jc w:val="center"/>
              <w:rPr>
                <w:rFonts w:ascii="宋体" w:cs="宋体"/>
                <w:b/>
                <w:bCs/>
                <w:color w:val="000000"/>
                <w:kern w:val="0"/>
                <w:sz w:val="24"/>
                <w:szCs w:val="24"/>
              </w:rPr>
            </w:pPr>
            <w:r>
              <w:rPr>
                <w:rFonts w:hint="eastAsia" w:ascii="宋体" w:hAnsi="宋体" w:cs="宋体"/>
                <w:b/>
                <w:bCs/>
                <w:color w:val="000000"/>
                <w:kern w:val="0"/>
                <w:sz w:val="24"/>
                <w:szCs w:val="24"/>
              </w:rPr>
              <w:t>设备数量</w:t>
            </w:r>
          </w:p>
        </w:tc>
        <w:tc>
          <w:tcPr>
            <w:tcW w:w="1809" w:type="dxa"/>
            <w:vAlign w:val="center"/>
          </w:tcPr>
          <w:p>
            <w:pPr>
              <w:widowControl/>
              <w:spacing w:line="288" w:lineRule="auto"/>
              <w:contextualSpacing/>
              <w:jc w:val="center"/>
              <w:rPr>
                <w:rFonts w:ascii="宋体" w:cs="宋体"/>
                <w:b/>
                <w:bCs/>
                <w:color w:val="000000"/>
                <w:kern w:val="0"/>
                <w:sz w:val="24"/>
                <w:szCs w:val="24"/>
              </w:rPr>
            </w:pPr>
            <w:r>
              <w:rPr>
                <w:rFonts w:hint="eastAsia" w:ascii="宋体" w:hAnsi="宋体" w:cs="宋体"/>
                <w:b/>
                <w:bCs/>
                <w:color w:val="000000"/>
                <w:kern w:val="0"/>
                <w:sz w:val="24"/>
                <w:szCs w:val="24"/>
              </w:rPr>
              <w:t>品牌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1" w:hRule="atLeast"/>
          <w:jc w:val="center"/>
        </w:trPr>
        <w:tc>
          <w:tcPr>
            <w:tcW w:w="1007" w:type="dxa"/>
            <w:vAlign w:val="center"/>
          </w:tcPr>
          <w:p>
            <w:pPr>
              <w:widowControl/>
              <w:spacing w:line="288" w:lineRule="auto"/>
              <w:contextualSpacing/>
              <w:jc w:val="center"/>
              <w:rPr>
                <w:rFonts w:ascii="宋体" w:hAnsi="宋体" w:cs="宋体"/>
                <w:bCs/>
                <w:color w:val="000000"/>
                <w:kern w:val="0"/>
                <w:sz w:val="24"/>
                <w:szCs w:val="24"/>
              </w:rPr>
            </w:pPr>
            <w:r>
              <w:rPr>
                <w:rFonts w:ascii="宋体" w:hAnsi="宋体" w:cs="宋体"/>
                <w:bCs/>
                <w:color w:val="000000"/>
                <w:kern w:val="0"/>
                <w:sz w:val="24"/>
                <w:szCs w:val="24"/>
              </w:rPr>
              <w:t>1</w:t>
            </w:r>
          </w:p>
        </w:tc>
        <w:tc>
          <w:tcPr>
            <w:tcW w:w="4124" w:type="dxa"/>
            <w:vAlign w:val="center"/>
          </w:tcPr>
          <w:p>
            <w:pPr>
              <w:spacing w:line="288" w:lineRule="auto"/>
              <w:contextualSpacing/>
              <w:jc w:val="center"/>
              <w:rPr>
                <w:rFonts w:ascii="宋体" w:cs="宋体"/>
                <w:bCs/>
                <w:color w:val="000000"/>
                <w:kern w:val="0"/>
                <w:sz w:val="24"/>
                <w:szCs w:val="24"/>
              </w:rPr>
            </w:pPr>
            <w:r>
              <w:rPr>
                <w:rFonts w:hint="eastAsia" w:ascii="宋体" w:hAnsi="宋体" w:cs="宋体"/>
                <w:bCs/>
                <w:color w:val="000000"/>
                <w:kern w:val="0"/>
                <w:sz w:val="24"/>
                <w:szCs w:val="24"/>
              </w:rPr>
              <w:t>智能制造单元系统集成应用平台</w:t>
            </w:r>
          </w:p>
        </w:tc>
        <w:tc>
          <w:tcPr>
            <w:tcW w:w="1668" w:type="dxa"/>
            <w:vAlign w:val="center"/>
          </w:tcPr>
          <w:p>
            <w:pPr>
              <w:spacing w:line="288" w:lineRule="auto"/>
              <w:contextualSpacing/>
              <w:jc w:val="center"/>
              <w:rPr>
                <w:rFonts w:ascii="宋体"/>
                <w:sz w:val="24"/>
                <w:szCs w:val="24"/>
              </w:rPr>
            </w:pPr>
            <w:r>
              <w:rPr>
                <w:rFonts w:ascii="宋体" w:hAnsi="宋体" w:cs="宋体"/>
                <w:bCs/>
                <w:color w:val="000000"/>
                <w:kern w:val="0"/>
                <w:sz w:val="24"/>
                <w:szCs w:val="24"/>
              </w:rPr>
              <w:t>1</w:t>
            </w:r>
            <w:r>
              <w:rPr>
                <w:rFonts w:hint="eastAsia" w:ascii="宋体" w:hAnsi="宋体" w:cs="宋体"/>
                <w:bCs/>
                <w:color w:val="000000"/>
                <w:kern w:val="0"/>
                <w:sz w:val="24"/>
                <w:szCs w:val="24"/>
              </w:rPr>
              <w:t>套</w:t>
            </w:r>
          </w:p>
        </w:tc>
        <w:tc>
          <w:tcPr>
            <w:tcW w:w="1809" w:type="dxa"/>
            <w:vAlign w:val="center"/>
          </w:tcPr>
          <w:p>
            <w:pPr>
              <w:spacing w:line="288" w:lineRule="auto"/>
              <w:contextualSpacing/>
              <w:jc w:val="center"/>
              <w:rPr>
                <w:rFonts w:ascii="宋体"/>
                <w:sz w:val="24"/>
                <w:szCs w:val="24"/>
              </w:rPr>
            </w:pPr>
            <w:r>
              <w:rPr>
                <w:rFonts w:hint="eastAsia" w:ascii="宋体" w:hAnsi="宋体" w:cs="宋体"/>
                <w:kern w:val="0"/>
                <w:sz w:val="24"/>
                <w:szCs w:val="24"/>
              </w:rPr>
              <w:t>北京华航唯实机器人科技股份有限公司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1007" w:type="dxa"/>
            <w:vAlign w:val="center"/>
          </w:tcPr>
          <w:p>
            <w:pPr>
              <w:widowControl/>
              <w:spacing w:line="288" w:lineRule="auto"/>
              <w:contextualSpacing/>
              <w:jc w:val="center"/>
              <w:rPr>
                <w:rFonts w:ascii="宋体" w:hAnsi="宋体" w:cs="宋体"/>
                <w:bCs/>
                <w:color w:val="000000"/>
                <w:kern w:val="0"/>
                <w:sz w:val="24"/>
                <w:szCs w:val="24"/>
              </w:rPr>
            </w:pPr>
            <w:r>
              <w:rPr>
                <w:rFonts w:ascii="宋体" w:hAnsi="宋体" w:cs="宋体"/>
                <w:bCs/>
                <w:color w:val="000000"/>
                <w:kern w:val="0"/>
                <w:sz w:val="24"/>
                <w:szCs w:val="24"/>
              </w:rPr>
              <w:t>2</w:t>
            </w:r>
          </w:p>
        </w:tc>
        <w:tc>
          <w:tcPr>
            <w:tcW w:w="4124" w:type="dxa"/>
            <w:vAlign w:val="center"/>
          </w:tcPr>
          <w:p>
            <w:pPr>
              <w:widowControl/>
              <w:spacing w:line="288" w:lineRule="auto"/>
              <w:contextualSpacing/>
              <w:jc w:val="center"/>
              <w:rPr>
                <w:rFonts w:ascii="宋体" w:cs="宋体"/>
                <w:color w:val="000000"/>
                <w:kern w:val="0"/>
                <w:sz w:val="24"/>
                <w:szCs w:val="24"/>
              </w:rPr>
            </w:pPr>
            <w:r>
              <w:rPr>
                <w:rFonts w:hint="eastAsia" w:ascii="宋体" w:hAnsi="宋体" w:cs="宋体"/>
                <w:color w:val="000000"/>
                <w:kern w:val="0"/>
                <w:sz w:val="24"/>
                <w:szCs w:val="24"/>
              </w:rPr>
              <w:t>工具及耗材</w:t>
            </w:r>
          </w:p>
        </w:tc>
        <w:tc>
          <w:tcPr>
            <w:tcW w:w="1668" w:type="dxa"/>
            <w:vAlign w:val="center"/>
          </w:tcPr>
          <w:p>
            <w:pPr>
              <w:spacing w:line="288" w:lineRule="auto"/>
              <w:contextualSpacing/>
              <w:jc w:val="center"/>
              <w:rPr>
                <w:rFonts w:ascii="宋体" w:cs="宋体"/>
                <w:color w:val="000000"/>
                <w:kern w:val="0"/>
                <w:sz w:val="24"/>
                <w:szCs w:val="24"/>
              </w:rPr>
            </w:pPr>
            <w:r>
              <w:rPr>
                <w:rFonts w:ascii="宋体" w:hAnsi="宋体" w:cs="宋体"/>
                <w:color w:val="000000"/>
                <w:kern w:val="0"/>
                <w:sz w:val="24"/>
                <w:szCs w:val="24"/>
              </w:rPr>
              <w:t>1</w:t>
            </w:r>
            <w:r>
              <w:rPr>
                <w:rFonts w:hint="eastAsia" w:ascii="宋体" w:hAnsi="宋体" w:cs="宋体"/>
                <w:color w:val="000000"/>
                <w:kern w:val="0"/>
                <w:sz w:val="24"/>
                <w:szCs w:val="24"/>
              </w:rPr>
              <w:t>套</w:t>
            </w:r>
          </w:p>
        </w:tc>
        <w:tc>
          <w:tcPr>
            <w:tcW w:w="1809" w:type="dxa"/>
            <w:vAlign w:val="center"/>
          </w:tcPr>
          <w:p>
            <w:pPr>
              <w:spacing w:line="288" w:lineRule="auto"/>
              <w:contextualSpacing/>
              <w:jc w:val="center"/>
              <w:rPr>
                <w:rFonts w:ascii="宋体" w:cs="宋体"/>
                <w:color w:val="000000"/>
                <w:kern w:val="0"/>
                <w:sz w:val="24"/>
                <w:szCs w:val="24"/>
              </w:rPr>
            </w:pPr>
            <w:r>
              <w:rPr>
                <w:rFonts w:hint="eastAsia" w:ascii="宋体" w:hAnsi="宋体" w:cs="宋体"/>
                <w:color w:val="000000"/>
                <w:kern w:val="0"/>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1007" w:type="dxa"/>
            <w:vAlign w:val="center"/>
          </w:tcPr>
          <w:p>
            <w:pPr>
              <w:widowControl/>
              <w:spacing w:line="288" w:lineRule="auto"/>
              <w:contextualSpacing/>
              <w:jc w:val="center"/>
              <w:rPr>
                <w:rFonts w:ascii="宋体" w:hAnsi="宋体" w:cs="宋体"/>
                <w:bCs/>
                <w:color w:val="000000"/>
                <w:kern w:val="0"/>
                <w:sz w:val="24"/>
                <w:szCs w:val="24"/>
              </w:rPr>
            </w:pPr>
            <w:r>
              <w:rPr>
                <w:rFonts w:ascii="宋体" w:hAnsi="宋体" w:cs="宋体"/>
                <w:bCs/>
                <w:color w:val="000000"/>
                <w:kern w:val="0"/>
                <w:sz w:val="24"/>
                <w:szCs w:val="24"/>
              </w:rPr>
              <w:t>3</w:t>
            </w:r>
          </w:p>
        </w:tc>
        <w:tc>
          <w:tcPr>
            <w:tcW w:w="4124" w:type="dxa"/>
            <w:vAlign w:val="center"/>
          </w:tcPr>
          <w:p>
            <w:pPr>
              <w:widowControl/>
              <w:spacing w:line="288" w:lineRule="auto"/>
              <w:contextualSpacing/>
              <w:jc w:val="center"/>
              <w:rPr>
                <w:rFonts w:ascii="宋体" w:cs="宋体"/>
                <w:color w:val="000000"/>
                <w:kern w:val="0"/>
                <w:sz w:val="24"/>
                <w:szCs w:val="24"/>
              </w:rPr>
            </w:pPr>
            <w:r>
              <w:rPr>
                <w:rFonts w:hint="eastAsia" w:ascii="宋体" w:hAnsi="宋体" w:cs="宋体"/>
                <w:color w:val="000000"/>
                <w:kern w:val="0"/>
                <w:sz w:val="24"/>
                <w:szCs w:val="24"/>
              </w:rPr>
              <w:t>安全帽</w:t>
            </w:r>
          </w:p>
        </w:tc>
        <w:tc>
          <w:tcPr>
            <w:tcW w:w="1668" w:type="dxa"/>
            <w:vAlign w:val="center"/>
          </w:tcPr>
          <w:p>
            <w:pPr>
              <w:spacing w:line="288" w:lineRule="auto"/>
              <w:contextualSpacing/>
              <w:jc w:val="center"/>
              <w:rPr>
                <w:rFonts w:ascii="宋体" w:cs="宋体"/>
                <w:color w:val="000000"/>
                <w:kern w:val="0"/>
                <w:sz w:val="24"/>
                <w:szCs w:val="24"/>
              </w:rPr>
            </w:pPr>
            <w:r>
              <w:rPr>
                <w:rFonts w:ascii="宋体" w:hAnsi="宋体" w:cs="宋体"/>
                <w:color w:val="000000"/>
                <w:kern w:val="0"/>
                <w:sz w:val="24"/>
                <w:szCs w:val="24"/>
              </w:rPr>
              <w:t>3</w:t>
            </w:r>
            <w:r>
              <w:rPr>
                <w:rFonts w:hint="eastAsia" w:ascii="宋体" w:hAnsi="宋体" w:cs="宋体"/>
                <w:color w:val="000000"/>
                <w:kern w:val="0"/>
                <w:sz w:val="24"/>
                <w:szCs w:val="24"/>
              </w:rPr>
              <w:t>顶</w:t>
            </w:r>
          </w:p>
        </w:tc>
        <w:tc>
          <w:tcPr>
            <w:tcW w:w="1809" w:type="dxa"/>
            <w:vAlign w:val="center"/>
          </w:tcPr>
          <w:p>
            <w:pPr>
              <w:spacing w:line="288" w:lineRule="auto"/>
              <w:contextualSpacing/>
              <w:jc w:val="center"/>
              <w:rPr>
                <w:rFonts w:ascii="宋体" w:cs="宋体"/>
                <w:color w:val="000000"/>
                <w:kern w:val="0"/>
                <w:sz w:val="24"/>
                <w:szCs w:val="24"/>
              </w:rPr>
            </w:pPr>
            <w:r>
              <w:rPr>
                <w:rFonts w:hint="eastAsia" w:ascii="宋体" w:hAnsi="宋体" w:cs="宋体"/>
                <w:color w:val="000000"/>
                <w:kern w:val="0"/>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007" w:type="dxa"/>
            <w:vAlign w:val="center"/>
          </w:tcPr>
          <w:p>
            <w:pPr>
              <w:widowControl/>
              <w:spacing w:line="288" w:lineRule="auto"/>
              <w:contextualSpacing/>
              <w:jc w:val="center"/>
              <w:rPr>
                <w:rFonts w:ascii="宋体" w:hAnsi="宋体" w:cs="宋体"/>
                <w:bCs/>
                <w:color w:val="000000"/>
                <w:kern w:val="0"/>
                <w:sz w:val="24"/>
                <w:szCs w:val="24"/>
              </w:rPr>
            </w:pPr>
            <w:r>
              <w:rPr>
                <w:rFonts w:ascii="宋体" w:hAnsi="宋体" w:cs="宋体"/>
                <w:bCs/>
                <w:color w:val="000000"/>
                <w:kern w:val="0"/>
                <w:sz w:val="24"/>
                <w:szCs w:val="24"/>
              </w:rPr>
              <w:t>4</w:t>
            </w:r>
          </w:p>
        </w:tc>
        <w:tc>
          <w:tcPr>
            <w:tcW w:w="4124" w:type="dxa"/>
            <w:vAlign w:val="center"/>
          </w:tcPr>
          <w:p>
            <w:pPr>
              <w:widowControl/>
              <w:spacing w:line="288" w:lineRule="auto"/>
              <w:contextualSpacing/>
              <w:jc w:val="center"/>
              <w:rPr>
                <w:rFonts w:ascii="宋体" w:cs="宋体"/>
                <w:color w:val="000000"/>
                <w:kern w:val="0"/>
                <w:sz w:val="24"/>
                <w:szCs w:val="24"/>
              </w:rPr>
            </w:pPr>
            <w:r>
              <w:rPr>
                <w:rFonts w:hint="eastAsia" w:ascii="宋体" w:hAnsi="宋体" w:cs="宋体"/>
                <w:color w:val="000000"/>
                <w:kern w:val="0"/>
                <w:sz w:val="24"/>
                <w:szCs w:val="24"/>
              </w:rPr>
              <w:t>计</w:t>
            </w:r>
            <w:r>
              <w:rPr>
                <w:rFonts w:ascii="宋体" w:hAnsi="宋体" w:cs="宋体"/>
                <w:color w:val="000000"/>
                <w:kern w:val="0"/>
                <w:sz w:val="24"/>
                <w:szCs w:val="24"/>
              </w:rPr>
              <w:t xml:space="preserve">  </w:t>
            </w:r>
            <w:r>
              <w:rPr>
                <w:rFonts w:hint="eastAsia" w:ascii="宋体" w:hAnsi="宋体" w:cs="宋体"/>
                <w:color w:val="000000"/>
                <w:kern w:val="0"/>
                <w:sz w:val="24"/>
                <w:szCs w:val="24"/>
              </w:rPr>
              <w:t>算</w:t>
            </w:r>
            <w:r>
              <w:rPr>
                <w:rFonts w:ascii="宋体" w:hAnsi="宋体" w:cs="宋体"/>
                <w:color w:val="000000"/>
                <w:kern w:val="0"/>
                <w:sz w:val="24"/>
                <w:szCs w:val="24"/>
              </w:rPr>
              <w:t xml:space="preserve">  </w:t>
            </w:r>
            <w:r>
              <w:rPr>
                <w:rFonts w:hint="eastAsia" w:ascii="宋体" w:hAnsi="宋体" w:cs="宋体"/>
                <w:color w:val="000000"/>
                <w:kern w:val="0"/>
                <w:sz w:val="24"/>
                <w:szCs w:val="24"/>
              </w:rPr>
              <w:t>机</w:t>
            </w:r>
          </w:p>
        </w:tc>
        <w:tc>
          <w:tcPr>
            <w:tcW w:w="1668" w:type="dxa"/>
            <w:vAlign w:val="center"/>
          </w:tcPr>
          <w:p>
            <w:pPr>
              <w:spacing w:line="288" w:lineRule="auto"/>
              <w:contextualSpacing/>
              <w:jc w:val="center"/>
              <w:rPr>
                <w:rFonts w:ascii="宋体" w:cs="宋体"/>
                <w:color w:val="000000"/>
                <w:kern w:val="0"/>
                <w:sz w:val="24"/>
                <w:szCs w:val="24"/>
              </w:rPr>
            </w:pPr>
            <w:r>
              <w:rPr>
                <w:rFonts w:ascii="宋体" w:hAnsi="宋体" w:cs="宋体"/>
                <w:color w:val="000000"/>
                <w:kern w:val="0"/>
                <w:sz w:val="24"/>
                <w:szCs w:val="24"/>
              </w:rPr>
              <w:t>2</w:t>
            </w:r>
            <w:r>
              <w:rPr>
                <w:rFonts w:hint="eastAsia" w:ascii="宋体" w:hAnsi="宋体" w:cs="宋体"/>
                <w:color w:val="000000"/>
                <w:kern w:val="0"/>
                <w:sz w:val="24"/>
                <w:szCs w:val="24"/>
              </w:rPr>
              <w:t>台</w:t>
            </w:r>
          </w:p>
        </w:tc>
        <w:tc>
          <w:tcPr>
            <w:tcW w:w="1809" w:type="dxa"/>
            <w:vAlign w:val="center"/>
          </w:tcPr>
          <w:p>
            <w:pPr>
              <w:spacing w:line="288" w:lineRule="auto"/>
              <w:contextualSpacing/>
              <w:jc w:val="center"/>
              <w:rPr>
                <w:rFonts w:ascii="宋体" w:cs="宋体"/>
                <w:color w:val="000000"/>
                <w:kern w:val="0"/>
                <w:sz w:val="24"/>
                <w:szCs w:val="24"/>
              </w:rPr>
            </w:pPr>
            <w:r>
              <w:rPr>
                <w:rFonts w:hint="eastAsia" w:ascii="宋体" w:hAnsi="宋体" w:cs="宋体"/>
                <w:color w:val="000000"/>
                <w:kern w:val="0"/>
                <w:sz w:val="24"/>
                <w:szCs w:val="24"/>
              </w:rPr>
              <w:t>无</w:t>
            </w:r>
          </w:p>
        </w:tc>
      </w:tr>
    </w:tbl>
    <w:p>
      <w:pPr>
        <w:spacing w:line="288" w:lineRule="auto"/>
        <w:ind w:firstLine="480" w:firstLineChars="200"/>
        <w:contextualSpacing/>
        <w:rPr>
          <w:rFonts w:ascii="宋体" w:hAnsi="宋体"/>
          <w:b/>
          <w:color w:val="000000"/>
          <w:sz w:val="24"/>
          <w:szCs w:val="24"/>
        </w:rPr>
      </w:pPr>
      <w:r>
        <w:rPr>
          <w:rFonts w:hint="eastAsia" w:ascii="宋体" w:hAnsi="宋体"/>
          <w:b/>
          <w:sz w:val="24"/>
          <w:szCs w:val="24"/>
        </w:rPr>
        <w:t>（</w:t>
      </w:r>
      <w:r>
        <w:rPr>
          <w:rFonts w:ascii="宋体" w:hAnsi="宋体"/>
          <w:b/>
          <w:sz w:val="24"/>
          <w:szCs w:val="24"/>
        </w:rPr>
        <w:t>2</w:t>
      </w:r>
      <w:r>
        <w:rPr>
          <w:rFonts w:hint="eastAsia" w:ascii="宋体" w:hAnsi="宋体"/>
          <w:b/>
          <w:sz w:val="24"/>
          <w:szCs w:val="24"/>
        </w:rPr>
        <w:t>）</w:t>
      </w:r>
      <w:r>
        <w:rPr>
          <w:rFonts w:hint="eastAsia" w:ascii="宋体" w:hAnsi="宋体"/>
          <w:b/>
          <w:color w:val="000000"/>
          <w:sz w:val="24"/>
          <w:szCs w:val="24"/>
        </w:rPr>
        <w:t>软件环境（每个竞赛工位）</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5"/>
        <w:gridCol w:w="2393"/>
        <w:gridCol w:w="61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tcPr>
          <w:p>
            <w:pPr>
              <w:pStyle w:val="36"/>
              <w:rPr>
                <w:rFonts w:asciiTheme="minorEastAsia" w:hAnsiTheme="minorEastAsia" w:eastAsiaTheme="minorEastAsia"/>
                <w:b/>
                <w:bCs/>
              </w:rPr>
            </w:pPr>
            <w:r>
              <w:rPr>
                <w:rFonts w:hint="eastAsia" w:asciiTheme="minorEastAsia" w:hAnsiTheme="minorEastAsia" w:eastAsiaTheme="minorEastAsia"/>
                <w:b/>
                <w:bCs/>
              </w:rPr>
              <w:t>序号</w:t>
            </w:r>
          </w:p>
        </w:tc>
        <w:tc>
          <w:tcPr>
            <w:tcW w:w="1984" w:type="dxa"/>
          </w:tcPr>
          <w:p>
            <w:pPr>
              <w:pStyle w:val="36"/>
              <w:rPr>
                <w:rFonts w:asciiTheme="minorEastAsia" w:hAnsiTheme="minorEastAsia" w:eastAsiaTheme="minorEastAsia"/>
                <w:b/>
                <w:bCs/>
              </w:rPr>
            </w:pPr>
            <w:r>
              <w:rPr>
                <w:rFonts w:hint="eastAsia" w:asciiTheme="minorEastAsia" w:hAnsiTheme="minorEastAsia" w:eastAsiaTheme="minorEastAsia"/>
                <w:b/>
                <w:bCs/>
              </w:rPr>
              <w:t>软件名称</w:t>
            </w:r>
          </w:p>
        </w:tc>
        <w:tc>
          <w:tcPr>
            <w:tcW w:w="5102" w:type="dxa"/>
          </w:tcPr>
          <w:p>
            <w:pPr>
              <w:pStyle w:val="36"/>
              <w:rPr>
                <w:rFonts w:asciiTheme="minorEastAsia" w:hAnsiTheme="minorEastAsia" w:eastAsiaTheme="minorEastAsia"/>
                <w:b/>
                <w:bCs/>
              </w:rPr>
            </w:pPr>
            <w:r>
              <w:rPr>
                <w:rFonts w:hint="eastAsia" w:asciiTheme="minorEastAsia" w:hAnsiTheme="minorEastAsia" w:eastAsiaTheme="minorEastAsia"/>
                <w:b/>
                <w:bCs/>
              </w:rPr>
              <w:t>软件版本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tcPr>
          <w:p>
            <w:pPr>
              <w:pStyle w:val="36"/>
              <w:rPr>
                <w:rFonts w:asciiTheme="minorEastAsia" w:hAnsiTheme="minorEastAsia" w:eastAsiaTheme="minorEastAsia"/>
              </w:rPr>
            </w:pPr>
            <w:r>
              <w:rPr>
                <w:rFonts w:asciiTheme="minorEastAsia" w:hAnsiTheme="minorEastAsia" w:eastAsiaTheme="minorEastAsia"/>
              </w:rPr>
              <w:t>1</w:t>
            </w:r>
          </w:p>
        </w:tc>
        <w:tc>
          <w:tcPr>
            <w:tcW w:w="1984" w:type="dxa"/>
          </w:tcPr>
          <w:p>
            <w:pPr>
              <w:pStyle w:val="36"/>
              <w:rPr>
                <w:rFonts w:asciiTheme="minorEastAsia" w:hAnsiTheme="minorEastAsia" w:eastAsiaTheme="minorEastAsia"/>
              </w:rPr>
            </w:pPr>
            <w:r>
              <w:rPr>
                <w:rFonts w:hint="eastAsia" w:asciiTheme="minorEastAsia" w:hAnsiTheme="minorEastAsia" w:eastAsiaTheme="minorEastAsia"/>
              </w:rPr>
              <w:t>操作系统</w:t>
            </w:r>
          </w:p>
        </w:tc>
        <w:tc>
          <w:tcPr>
            <w:tcW w:w="5102" w:type="dxa"/>
          </w:tcPr>
          <w:p>
            <w:pPr>
              <w:pStyle w:val="36"/>
              <w:rPr>
                <w:rFonts w:asciiTheme="minorEastAsia" w:hAnsiTheme="minorEastAsia" w:eastAsiaTheme="minorEastAsia"/>
              </w:rPr>
            </w:pPr>
            <w:r>
              <w:rPr>
                <w:rFonts w:asciiTheme="minorEastAsia" w:hAnsiTheme="minorEastAsia" w:eastAsiaTheme="minorEastAsia"/>
              </w:rPr>
              <w:t xml:space="preserve">Windows 10 </w:t>
            </w:r>
            <w:r>
              <w:rPr>
                <w:rFonts w:hint="eastAsia" w:asciiTheme="minorEastAsia" w:hAnsiTheme="minorEastAsia" w:eastAsiaTheme="minorEastAsia"/>
              </w:rPr>
              <w:t>专业版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tcPr>
          <w:p>
            <w:pPr>
              <w:pStyle w:val="36"/>
              <w:rPr>
                <w:rFonts w:asciiTheme="minorEastAsia" w:hAnsiTheme="minorEastAsia" w:eastAsiaTheme="minorEastAsia"/>
              </w:rPr>
            </w:pPr>
            <w:r>
              <w:rPr>
                <w:rFonts w:asciiTheme="minorEastAsia" w:hAnsiTheme="minorEastAsia" w:eastAsiaTheme="minorEastAsia"/>
              </w:rPr>
              <w:t>2</w:t>
            </w:r>
          </w:p>
        </w:tc>
        <w:tc>
          <w:tcPr>
            <w:tcW w:w="1984" w:type="dxa"/>
          </w:tcPr>
          <w:p>
            <w:pPr>
              <w:pStyle w:val="36"/>
              <w:rPr>
                <w:rFonts w:asciiTheme="minorEastAsia" w:hAnsiTheme="minorEastAsia" w:eastAsiaTheme="minorEastAsia"/>
              </w:rPr>
            </w:pPr>
            <w:r>
              <w:rPr>
                <w:rFonts w:hint="eastAsia" w:asciiTheme="minorEastAsia" w:hAnsiTheme="minorEastAsia" w:eastAsiaTheme="minorEastAsia"/>
              </w:rPr>
              <w:t>输入法</w:t>
            </w:r>
          </w:p>
        </w:tc>
        <w:tc>
          <w:tcPr>
            <w:tcW w:w="5102" w:type="dxa"/>
          </w:tcPr>
          <w:p>
            <w:pPr>
              <w:pStyle w:val="36"/>
              <w:rPr>
                <w:rFonts w:asciiTheme="minorEastAsia" w:hAnsiTheme="minorEastAsia" w:eastAsiaTheme="minorEastAsia"/>
              </w:rPr>
            </w:pPr>
            <w:r>
              <w:rPr>
                <w:rFonts w:hint="eastAsia" w:asciiTheme="minorEastAsia" w:hAnsiTheme="minorEastAsia" w:eastAsiaTheme="minorEastAsia"/>
              </w:rPr>
              <w:t>搜狗输入法</w:t>
            </w:r>
            <w:r>
              <w:rPr>
                <w:rFonts w:asciiTheme="minorEastAsia" w:hAnsiTheme="minorEastAsia" w:eastAsiaTheme="minorEastAsia"/>
              </w:rPr>
              <w:t xml:space="preserve"> 9.1 </w:t>
            </w:r>
            <w:r>
              <w:rPr>
                <w:rFonts w:hint="eastAsia" w:asciiTheme="minorEastAsia" w:hAnsiTheme="minorEastAsia" w:eastAsiaTheme="minorEastAsia"/>
              </w:rPr>
              <w:t>正式版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vAlign w:val="center"/>
          </w:tcPr>
          <w:p>
            <w:pPr>
              <w:pStyle w:val="36"/>
              <w:rPr>
                <w:rFonts w:asciiTheme="minorEastAsia" w:hAnsiTheme="minorEastAsia" w:eastAsiaTheme="minorEastAsia"/>
              </w:rPr>
            </w:pPr>
            <w:r>
              <w:rPr>
                <w:rFonts w:asciiTheme="minorEastAsia" w:hAnsiTheme="minorEastAsia" w:eastAsiaTheme="minorEastAsia"/>
              </w:rPr>
              <w:t>3</w:t>
            </w:r>
          </w:p>
        </w:tc>
        <w:tc>
          <w:tcPr>
            <w:tcW w:w="1984" w:type="dxa"/>
            <w:vAlign w:val="center"/>
          </w:tcPr>
          <w:p>
            <w:pPr>
              <w:pStyle w:val="36"/>
              <w:rPr>
                <w:rFonts w:asciiTheme="minorEastAsia" w:hAnsiTheme="minorEastAsia" w:eastAsiaTheme="minorEastAsia"/>
              </w:rPr>
            </w:pPr>
            <w:r>
              <w:rPr>
                <w:rFonts w:hint="eastAsia" w:asciiTheme="minorEastAsia" w:hAnsiTheme="minorEastAsia" w:eastAsiaTheme="minorEastAsia"/>
              </w:rPr>
              <w:t>文本处理软件</w:t>
            </w:r>
          </w:p>
        </w:tc>
        <w:tc>
          <w:tcPr>
            <w:tcW w:w="5102" w:type="dxa"/>
          </w:tcPr>
          <w:p>
            <w:pPr>
              <w:pStyle w:val="36"/>
              <w:rPr>
                <w:rFonts w:asciiTheme="minorEastAsia" w:hAnsiTheme="minorEastAsia" w:eastAsiaTheme="minorEastAsia"/>
              </w:rPr>
            </w:pPr>
            <w:r>
              <w:rPr>
                <w:rFonts w:asciiTheme="minorEastAsia" w:hAnsiTheme="minorEastAsia" w:eastAsiaTheme="minorEastAsia"/>
              </w:rPr>
              <w:t>WPS Office 2016</w:t>
            </w:r>
          </w:p>
          <w:p>
            <w:pPr>
              <w:pStyle w:val="36"/>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10.1.0.7698</w:t>
            </w:r>
            <w:r>
              <w:rPr>
                <w:rFonts w:hint="eastAsia" w:asciiTheme="minorEastAsia" w:hAnsiTheme="minorEastAsia" w:eastAsiaTheme="minor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vAlign w:val="center"/>
          </w:tcPr>
          <w:p>
            <w:pPr>
              <w:pStyle w:val="36"/>
              <w:rPr>
                <w:rFonts w:asciiTheme="minorEastAsia" w:hAnsiTheme="minorEastAsia" w:eastAsiaTheme="minorEastAsia"/>
              </w:rPr>
            </w:pPr>
            <w:r>
              <w:rPr>
                <w:rFonts w:asciiTheme="minorEastAsia" w:hAnsiTheme="minorEastAsia" w:eastAsiaTheme="minorEastAsia"/>
              </w:rPr>
              <w:t>4</w:t>
            </w:r>
          </w:p>
        </w:tc>
        <w:tc>
          <w:tcPr>
            <w:tcW w:w="1984" w:type="dxa"/>
            <w:vAlign w:val="center"/>
          </w:tcPr>
          <w:p>
            <w:pPr>
              <w:pStyle w:val="36"/>
              <w:rPr>
                <w:rFonts w:asciiTheme="minorEastAsia" w:hAnsiTheme="minorEastAsia" w:eastAsiaTheme="minorEastAsia"/>
              </w:rPr>
            </w:pPr>
            <w:r>
              <w:rPr>
                <w:rFonts w:hint="eastAsia" w:asciiTheme="minorEastAsia" w:hAnsiTheme="minorEastAsia" w:eastAsiaTheme="minorEastAsia"/>
              </w:rPr>
              <w:t>文本处理软件</w:t>
            </w:r>
          </w:p>
        </w:tc>
        <w:tc>
          <w:tcPr>
            <w:tcW w:w="5102" w:type="dxa"/>
          </w:tcPr>
          <w:p>
            <w:pPr>
              <w:pStyle w:val="36"/>
              <w:rPr>
                <w:rFonts w:asciiTheme="minorEastAsia" w:hAnsiTheme="minorEastAsia" w:eastAsiaTheme="minorEastAsia"/>
              </w:rPr>
            </w:pPr>
            <w:r>
              <w:rPr>
                <w:rFonts w:asciiTheme="minorEastAsia" w:hAnsiTheme="minorEastAsia" w:eastAsiaTheme="minorEastAsia"/>
              </w:rPr>
              <w:t>Adobe reader XI</w:t>
            </w:r>
          </w:p>
          <w:p>
            <w:pPr>
              <w:pStyle w:val="36"/>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11.0.20</w:t>
            </w:r>
            <w:r>
              <w:rPr>
                <w:rFonts w:hint="eastAsia" w:asciiTheme="minorEastAsia" w:hAnsiTheme="minorEastAsia" w:eastAsiaTheme="minor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vAlign w:val="center"/>
          </w:tcPr>
          <w:p>
            <w:pPr>
              <w:pStyle w:val="36"/>
              <w:rPr>
                <w:rFonts w:asciiTheme="minorEastAsia" w:hAnsiTheme="minorEastAsia" w:eastAsiaTheme="minorEastAsia"/>
              </w:rPr>
            </w:pPr>
            <w:r>
              <w:rPr>
                <w:rFonts w:asciiTheme="minorEastAsia" w:hAnsiTheme="minorEastAsia" w:eastAsiaTheme="minorEastAsia"/>
              </w:rPr>
              <w:t>5</w:t>
            </w:r>
          </w:p>
        </w:tc>
        <w:tc>
          <w:tcPr>
            <w:tcW w:w="1984" w:type="dxa"/>
            <w:vAlign w:val="center"/>
          </w:tcPr>
          <w:p>
            <w:pPr>
              <w:pStyle w:val="36"/>
              <w:rPr>
                <w:rFonts w:asciiTheme="minorEastAsia" w:hAnsiTheme="minorEastAsia" w:eastAsiaTheme="minorEastAsia"/>
              </w:rPr>
            </w:pPr>
            <w:r>
              <w:rPr>
                <w:rFonts w:hint="eastAsia" w:asciiTheme="minorEastAsia" w:hAnsiTheme="minorEastAsia" w:eastAsiaTheme="minorEastAsia"/>
              </w:rPr>
              <w:t>SIEMENS</w:t>
            </w:r>
            <w:r>
              <w:rPr>
                <w:rFonts w:asciiTheme="minorEastAsia" w:hAnsiTheme="minorEastAsia" w:eastAsiaTheme="minorEastAsia"/>
              </w:rPr>
              <w:t xml:space="preserve"> SIMATIC STEP 7 Basic</w:t>
            </w:r>
            <w:r>
              <w:rPr>
                <w:rFonts w:hint="eastAsia" w:asciiTheme="minorEastAsia" w:hAnsiTheme="minorEastAsia" w:eastAsiaTheme="minorEastAsia"/>
              </w:rPr>
              <w:t>编程软件</w:t>
            </w:r>
          </w:p>
        </w:tc>
        <w:tc>
          <w:tcPr>
            <w:tcW w:w="5102" w:type="dxa"/>
          </w:tcPr>
          <w:p>
            <w:pPr>
              <w:pStyle w:val="36"/>
              <w:rPr>
                <w:rFonts w:asciiTheme="minorEastAsia" w:hAnsiTheme="minorEastAsia" w:eastAsiaTheme="minorEastAsia"/>
              </w:rPr>
            </w:pPr>
            <w:r>
              <w:rPr>
                <w:rFonts w:asciiTheme="minorEastAsia" w:hAnsiTheme="minorEastAsia" w:eastAsiaTheme="minorEastAsia"/>
              </w:rPr>
              <w:t>SIEMENS TIA Portal V15 STEP 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vAlign w:val="center"/>
          </w:tcPr>
          <w:p>
            <w:pPr>
              <w:pStyle w:val="36"/>
              <w:rPr>
                <w:rFonts w:asciiTheme="minorEastAsia" w:hAnsiTheme="minorEastAsia" w:eastAsiaTheme="minorEastAsia"/>
              </w:rPr>
            </w:pPr>
            <w:r>
              <w:rPr>
                <w:rFonts w:asciiTheme="minorEastAsia" w:hAnsiTheme="minorEastAsia" w:eastAsiaTheme="minorEastAsia"/>
              </w:rPr>
              <w:t>6</w:t>
            </w:r>
          </w:p>
        </w:tc>
        <w:tc>
          <w:tcPr>
            <w:tcW w:w="1984" w:type="dxa"/>
            <w:vAlign w:val="center"/>
          </w:tcPr>
          <w:p>
            <w:pPr>
              <w:pStyle w:val="36"/>
              <w:rPr>
                <w:rFonts w:asciiTheme="minorEastAsia" w:hAnsiTheme="minorEastAsia" w:eastAsiaTheme="minorEastAsia"/>
              </w:rPr>
            </w:pPr>
            <w:r>
              <w:rPr>
                <w:rFonts w:hint="eastAsia" w:asciiTheme="minorEastAsia" w:hAnsiTheme="minorEastAsia" w:eastAsiaTheme="minorEastAsia"/>
              </w:rPr>
              <w:t>RobotArt工业机器人离线编程软件竞赛版</w:t>
            </w:r>
          </w:p>
        </w:tc>
        <w:tc>
          <w:tcPr>
            <w:tcW w:w="5102" w:type="dxa"/>
          </w:tcPr>
          <w:p>
            <w:pPr>
              <w:pStyle w:val="36"/>
              <w:rPr>
                <w:rFonts w:asciiTheme="minorEastAsia" w:hAnsiTheme="minorEastAsia" w:eastAsiaTheme="minorEastAsia"/>
              </w:rPr>
            </w:pPr>
            <w:r>
              <w:rPr>
                <w:rFonts w:asciiTheme="minorEastAsia" w:hAnsiTheme="minorEastAsia" w:eastAsiaTheme="minorEastAsia"/>
              </w:rPr>
              <w:t>RobotArt</w:t>
            </w:r>
            <w:r>
              <w:rPr>
                <w:rFonts w:hint="eastAsia" w:asciiTheme="minorEastAsia" w:hAnsiTheme="minorEastAsia" w:eastAsiaTheme="minorEastAsia"/>
              </w:rPr>
              <w:t>工业机器人离线编程软件竞赛版</w:t>
            </w:r>
          </w:p>
          <w:p>
            <w:pPr>
              <w:pStyle w:val="36"/>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V5.2.0.2760</w:t>
            </w:r>
            <w:r>
              <w:rPr>
                <w:rFonts w:hint="eastAsia" w:asciiTheme="minorEastAsia" w:hAnsiTheme="minorEastAsia" w:eastAsiaTheme="minor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vAlign w:val="center"/>
          </w:tcPr>
          <w:p>
            <w:pPr>
              <w:pStyle w:val="36"/>
              <w:rPr>
                <w:rFonts w:asciiTheme="minorEastAsia" w:hAnsiTheme="minorEastAsia" w:eastAsiaTheme="minorEastAsia"/>
              </w:rPr>
            </w:pPr>
            <w:r>
              <w:rPr>
                <w:rFonts w:asciiTheme="minorEastAsia" w:hAnsiTheme="minorEastAsia" w:eastAsiaTheme="minorEastAsia"/>
              </w:rPr>
              <w:t>7</w:t>
            </w:r>
          </w:p>
        </w:tc>
        <w:tc>
          <w:tcPr>
            <w:tcW w:w="1984" w:type="dxa"/>
            <w:vAlign w:val="center"/>
          </w:tcPr>
          <w:p>
            <w:pPr>
              <w:pStyle w:val="36"/>
              <w:rPr>
                <w:rFonts w:asciiTheme="minorEastAsia" w:hAnsiTheme="minorEastAsia" w:eastAsiaTheme="minorEastAsia"/>
              </w:rPr>
            </w:pPr>
            <w:r>
              <w:rPr>
                <w:rFonts w:hint="eastAsia" w:asciiTheme="minorEastAsia" w:hAnsiTheme="minorEastAsia" w:eastAsiaTheme="minorEastAsia"/>
              </w:rPr>
              <w:t>SIEMENS</w:t>
            </w:r>
            <w:r>
              <w:rPr>
                <w:rFonts w:asciiTheme="minorEastAsia" w:hAnsiTheme="minorEastAsia" w:eastAsiaTheme="minorEastAsia"/>
              </w:rPr>
              <w:t xml:space="preserve"> SIMATIC WinCC Professional</w:t>
            </w:r>
            <w:r>
              <w:rPr>
                <w:rFonts w:hint="eastAsia" w:asciiTheme="minorEastAsia" w:hAnsiTheme="minorEastAsia" w:eastAsiaTheme="minorEastAsia"/>
              </w:rPr>
              <w:t>编程软件</w:t>
            </w:r>
          </w:p>
        </w:tc>
        <w:tc>
          <w:tcPr>
            <w:tcW w:w="5102" w:type="dxa"/>
          </w:tcPr>
          <w:p>
            <w:pPr>
              <w:pStyle w:val="36"/>
              <w:rPr>
                <w:rFonts w:asciiTheme="minorEastAsia" w:hAnsiTheme="minorEastAsia" w:eastAsiaTheme="minorEastAsia"/>
              </w:rPr>
            </w:pPr>
            <w:r>
              <w:rPr>
                <w:rFonts w:asciiTheme="minorEastAsia" w:hAnsiTheme="minorEastAsia" w:eastAsiaTheme="minorEastAsia"/>
              </w:rPr>
              <w:t>SIEMENS TIA Portal V15 WinCC Professional</w:t>
            </w:r>
          </w:p>
        </w:tc>
      </w:tr>
    </w:tbl>
    <w:p>
      <w:pPr>
        <w:snapToGrid w:val="0"/>
        <w:spacing w:before="190" w:beforeLines="50" w:after="190" w:afterLines="50" w:line="288" w:lineRule="auto"/>
        <w:ind w:firstLine="480" w:firstLineChars="200"/>
        <w:contextualSpacing/>
        <w:rPr>
          <w:rFonts w:ascii="宋体" w:hAnsi="宋体" w:cs="仿宋"/>
          <w:b/>
          <w:sz w:val="24"/>
          <w:szCs w:val="24"/>
        </w:rPr>
      </w:pPr>
      <w:r>
        <w:rPr>
          <w:rFonts w:hint="eastAsia" w:ascii="宋体" w:hAnsi="宋体" w:cs="仿宋"/>
          <w:b/>
          <w:sz w:val="24"/>
          <w:szCs w:val="24"/>
        </w:rPr>
        <w:t>三、竞赛流程</w:t>
      </w:r>
    </w:p>
    <w:p>
      <w:pPr>
        <w:pStyle w:val="38"/>
      </w:pPr>
      <w:r>
        <w:rPr>
          <w:rFonts w:hint="eastAsia"/>
        </w:rPr>
        <w:t>竞赛流程安排</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7"/>
        <w:gridCol w:w="1940"/>
        <w:gridCol w:w="2558"/>
        <w:gridCol w:w="1358"/>
        <w:gridCol w:w="25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Align w:val="center"/>
          </w:tcPr>
          <w:p>
            <w:pPr>
              <w:pStyle w:val="36"/>
              <w:rPr>
                <w:rFonts w:asciiTheme="minorEastAsia" w:hAnsiTheme="minorEastAsia" w:eastAsiaTheme="minorEastAsia"/>
              </w:rPr>
            </w:pPr>
            <w:r>
              <w:rPr>
                <w:rFonts w:hint="eastAsia" w:asciiTheme="minorEastAsia" w:hAnsiTheme="minorEastAsia" w:eastAsiaTheme="minorEastAsia"/>
              </w:rPr>
              <w:t>日期</w:t>
            </w:r>
          </w:p>
        </w:tc>
        <w:tc>
          <w:tcPr>
            <w:tcW w:w="1745" w:type="dxa"/>
            <w:vAlign w:val="center"/>
          </w:tcPr>
          <w:p>
            <w:pPr>
              <w:pStyle w:val="36"/>
              <w:rPr>
                <w:rFonts w:asciiTheme="minorEastAsia" w:hAnsiTheme="minorEastAsia" w:eastAsiaTheme="minorEastAsia"/>
              </w:rPr>
            </w:pPr>
            <w:r>
              <w:rPr>
                <w:rFonts w:hint="eastAsia" w:asciiTheme="minorEastAsia" w:hAnsiTheme="minorEastAsia" w:eastAsiaTheme="minorEastAsia"/>
              </w:rPr>
              <w:t>时间</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事项</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地点</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参加人员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restart"/>
            <w:vAlign w:val="center"/>
          </w:tcPr>
          <w:p>
            <w:pPr>
              <w:pStyle w:val="36"/>
              <w:rPr>
                <w:rFonts w:asciiTheme="minorEastAsia" w:hAnsiTheme="minorEastAsia" w:eastAsiaTheme="minorEastAsia"/>
              </w:rPr>
            </w:pPr>
            <w:r>
              <w:rPr>
                <w:rFonts w:hint="eastAsia" w:asciiTheme="minorEastAsia" w:hAnsiTheme="minorEastAsia" w:eastAsiaTheme="minorEastAsia"/>
              </w:rPr>
              <w:t>第一天</w:t>
            </w: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9:00-14:00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参赛队报到</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住宿酒店</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15:30-16:30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领队会、场次抽检</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会议室</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参赛队、裁判长、监督长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16:30-17:00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熟悉赛场</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17:00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封闭赛场</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裁判长、监督长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restart"/>
            <w:vAlign w:val="center"/>
          </w:tcPr>
          <w:p>
            <w:pPr>
              <w:pStyle w:val="36"/>
              <w:rPr>
                <w:rFonts w:asciiTheme="minorEastAsia" w:hAnsiTheme="minorEastAsia" w:eastAsiaTheme="minorEastAsia"/>
              </w:rPr>
            </w:pPr>
            <w:r>
              <w:rPr>
                <w:rFonts w:hint="eastAsia" w:asciiTheme="minorEastAsia" w:hAnsiTheme="minorEastAsia" w:eastAsiaTheme="minorEastAsia"/>
              </w:rPr>
              <w:t>第二天</w:t>
            </w: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6:00-6:30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竞赛相关人员到达竞赛场地并完成参赛队检录</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裁判、工作人员、监督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6:30-7:00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竞赛队伍工位抽签赛前准备</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裁判、工作人员、监督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7:00-12:00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正式比赛</w:t>
            </w:r>
          </w:p>
          <w:p>
            <w:pPr>
              <w:pStyle w:val="36"/>
              <w:rPr>
                <w:rFonts w:asciiTheme="minorEastAsia" w:hAnsiTheme="minorEastAsia" w:eastAsiaTheme="minorEastAsia"/>
              </w:rPr>
            </w:pPr>
            <w:r>
              <w:rPr>
                <w:rFonts w:hint="eastAsia" w:asciiTheme="minorEastAsia" w:hAnsiTheme="minorEastAsia" w:eastAsiaTheme="minorEastAsia"/>
              </w:rPr>
              <w:t>（第</w:t>
            </w:r>
            <w:r>
              <w:rPr>
                <w:rFonts w:asciiTheme="minorEastAsia" w:hAnsiTheme="minorEastAsia" w:eastAsiaTheme="minorEastAsia"/>
              </w:rPr>
              <w:t>1</w:t>
            </w:r>
            <w:r>
              <w:rPr>
                <w:rFonts w:hint="eastAsia" w:asciiTheme="minorEastAsia" w:hAnsiTheme="minorEastAsia" w:eastAsiaTheme="minorEastAsia"/>
              </w:rPr>
              <w:t>场）</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裁判、技术人员、监督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12:00-13:30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参赛队退场、午餐</w:t>
            </w:r>
          </w:p>
          <w:p>
            <w:pPr>
              <w:pStyle w:val="36"/>
              <w:rPr>
                <w:rFonts w:asciiTheme="minorEastAsia" w:hAnsiTheme="minorEastAsia" w:eastAsiaTheme="minorEastAsia"/>
              </w:rPr>
            </w:pPr>
            <w:r>
              <w:rPr>
                <w:rFonts w:hint="eastAsia" w:asciiTheme="minorEastAsia" w:hAnsiTheme="minorEastAsia" w:eastAsiaTheme="minorEastAsia"/>
              </w:rPr>
              <w:t>及裁判评分</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13:30-14:45</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竞赛设备恢复</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14:30-15:00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竞赛相关人员到达竞赛场地并完成参赛队检录</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裁判、工作人员、监督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15:00-15:30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竞赛队伍工位抽签赛前准备</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裁判、工作人员、监督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15:30-20:30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正式比赛</w:t>
            </w:r>
          </w:p>
          <w:p>
            <w:pPr>
              <w:pStyle w:val="36"/>
              <w:rPr>
                <w:rFonts w:asciiTheme="minorEastAsia" w:hAnsiTheme="minorEastAsia" w:eastAsiaTheme="minorEastAsia"/>
              </w:rPr>
            </w:pPr>
            <w:r>
              <w:rPr>
                <w:rFonts w:hint="eastAsia" w:asciiTheme="minorEastAsia" w:hAnsiTheme="minorEastAsia" w:eastAsiaTheme="minorEastAsia"/>
              </w:rPr>
              <w:t>（第</w:t>
            </w:r>
            <w:r>
              <w:rPr>
                <w:rFonts w:asciiTheme="minorEastAsia" w:hAnsiTheme="minorEastAsia" w:eastAsiaTheme="minorEastAsia"/>
              </w:rPr>
              <w:t>2</w:t>
            </w:r>
            <w:r>
              <w:rPr>
                <w:rFonts w:hint="eastAsia" w:asciiTheme="minorEastAsia" w:hAnsiTheme="minorEastAsia" w:eastAsiaTheme="minorEastAsia"/>
              </w:rPr>
              <w:t>场）</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裁判、技术人员、监督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20:30-22:00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参赛队退场、晚餐</w:t>
            </w:r>
          </w:p>
          <w:p>
            <w:pPr>
              <w:pStyle w:val="36"/>
              <w:rPr>
                <w:rFonts w:asciiTheme="minorEastAsia" w:hAnsiTheme="minorEastAsia" w:eastAsiaTheme="minorEastAsia"/>
              </w:rPr>
            </w:pPr>
            <w:r>
              <w:rPr>
                <w:rFonts w:hint="eastAsia" w:asciiTheme="minorEastAsia" w:hAnsiTheme="minorEastAsia" w:eastAsiaTheme="minorEastAsia"/>
              </w:rPr>
              <w:t>裁判评分</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22:00-23:15</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竞赛设备恢复</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restart"/>
            <w:vAlign w:val="center"/>
          </w:tcPr>
          <w:p>
            <w:pPr>
              <w:pStyle w:val="36"/>
              <w:rPr>
                <w:rFonts w:asciiTheme="minorEastAsia" w:hAnsiTheme="minorEastAsia" w:eastAsiaTheme="minorEastAsia"/>
              </w:rPr>
            </w:pPr>
            <w:r>
              <w:rPr>
                <w:rFonts w:hint="eastAsia" w:asciiTheme="minorEastAsia" w:hAnsiTheme="minorEastAsia" w:eastAsiaTheme="minorEastAsia"/>
              </w:rPr>
              <w:t>第三天</w:t>
            </w: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6:00-6:30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竞赛相关人员到达竞赛场地并完成参赛队检录</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裁判、工作人员、监督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6:30-7:00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竞赛队伍工位抽签赛前准备</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裁判、工作人员、监督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7:00-12:00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正式比赛</w:t>
            </w:r>
          </w:p>
          <w:p>
            <w:pPr>
              <w:pStyle w:val="36"/>
              <w:rPr>
                <w:rFonts w:asciiTheme="minorEastAsia" w:hAnsiTheme="minorEastAsia" w:eastAsiaTheme="minorEastAsia"/>
              </w:rPr>
            </w:pPr>
            <w:r>
              <w:rPr>
                <w:rFonts w:hint="eastAsia" w:asciiTheme="minorEastAsia" w:hAnsiTheme="minorEastAsia" w:eastAsiaTheme="minorEastAsia"/>
              </w:rPr>
              <w:t>（第3场）</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裁判、技术人员、监督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12:00-13:30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参赛队退场、午餐</w:t>
            </w:r>
          </w:p>
          <w:p>
            <w:pPr>
              <w:pStyle w:val="36"/>
              <w:rPr>
                <w:rFonts w:asciiTheme="minorEastAsia" w:hAnsiTheme="minorEastAsia" w:eastAsiaTheme="minorEastAsia"/>
              </w:rPr>
            </w:pPr>
            <w:r>
              <w:rPr>
                <w:rFonts w:hint="eastAsia" w:asciiTheme="minorEastAsia" w:hAnsiTheme="minorEastAsia" w:eastAsiaTheme="minorEastAsia"/>
              </w:rPr>
              <w:t>及裁判评分</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13:30-14:45</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竞赛设备恢复</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14:30-15:00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竞赛相关人员到达竞赛场地并完成参赛队检录</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裁判、工作人员、监督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15:00-15:30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竞赛队伍工位抽签赛前准备</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裁判、工作人员、监督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15:30-20:30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正式比赛</w:t>
            </w:r>
          </w:p>
          <w:p>
            <w:pPr>
              <w:pStyle w:val="36"/>
              <w:rPr>
                <w:rFonts w:asciiTheme="minorEastAsia" w:hAnsiTheme="minorEastAsia" w:eastAsiaTheme="minorEastAsia"/>
              </w:rPr>
            </w:pPr>
            <w:r>
              <w:rPr>
                <w:rFonts w:hint="eastAsia" w:asciiTheme="minorEastAsia" w:hAnsiTheme="minorEastAsia" w:eastAsiaTheme="minorEastAsia"/>
              </w:rPr>
              <w:t>（第4场）</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裁判、技术人员、监督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20:30-22:00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参赛队退场、晚餐</w:t>
            </w:r>
          </w:p>
          <w:p>
            <w:pPr>
              <w:pStyle w:val="36"/>
              <w:rPr>
                <w:rFonts w:asciiTheme="minorEastAsia" w:hAnsiTheme="minorEastAsia" w:eastAsiaTheme="minorEastAsia"/>
              </w:rPr>
            </w:pPr>
            <w:r>
              <w:rPr>
                <w:rFonts w:hint="eastAsia" w:asciiTheme="minorEastAsia" w:hAnsiTheme="minorEastAsia" w:eastAsiaTheme="minorEastAsia"/>
              </w:rPr>
              <w:t>裁判评分</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裁判、监督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Merge w:val="continue"/>
            <w:vAlign w:val="center"/>
          </w:tcPr>
          <w:p>
            <w:pPr>
              <w:pStyle w:val="36"/>
              <w:rPr>
                <w:rFonts w:asciiTheme="minorEastAsia" w:hAnsiTheme="minorEastAsia" w:eastAsiaTheme="minorEastAsia"/>
              </w:rPr>
            </w:pP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22:00-23:15</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竞赛设备恢复</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竞赛场地</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13" w:type="dxa"/>
            <w:vAlign w:val="center"/>
          </w:tcPr>
          <w:p>
            <w:pPr>
              <w:pStyle w:val="36"/>
              <w:rPr>
                <w:rFonts w:asciiTheme="minorEastAsia" w:hAnsiTheme="minorEastAsia" w:eastAsiaTheme="minorEastAsia"/>
              </w:rPr>
            </w:pPr>
            <w:r>
              <w:rPr>
                <w:rFonts w:hint="eastAsia" w:asciiTheme="minorEastAsia" w:hAnsiTheme="minorEastAsia" w:eastAsiaTheme="minorEastAsia"/>
              </w:rPr>
              <w:t>第四天</w:t>
            </w:r>
          </w:p>
        </w:tc>
        <w:tc>
          <w:tcPr>
            <w:tcW w:w="1745" w:type="dxa"/>
            <w:vAlign w:val="center"/>
          </w:tcPr>
          <w:p>
            <w:pPr>
              <w:pStyle w:val="36"/>
              <w:rPr>
                <w:rFonts w:asciiTheme="minorEastAsia" w:hAnsiTheme="minorEastAsia" w:eastAsiaTheme="minorEastAsia"/>
              </w:rPr>
            </w:pPr>
            <w:r>
              <w:rPr>
                <w:rFonts w:asciiTheme="minorEastAsia" w:hAnsiTheme="minorEastAsia" w:eastAsiaTheme="minorEastAsia"/>
              </w:rPr>
              <w:t>10:00-11:00</w:t>
            </w:r>
          </w:p>
        </w:tc>
        <w:tc>
          <w:tcPr>
            <w:tcW w:w="2301" w:type="dxa"/>
            <w:vAlign w:val="center"/>
          </w:tcPr>
          <w:p>
            <w:pPr>
              <w:pStyle w:val="36"/>
              <w:rPr>
                <w:rFonts w:asciiTheme="minorEastAsia" w:hAnsiTheme="minorEastAsia" w:eastAsiaTheme="minorEastAsia"/>
              </w:rPr>
            </w:pPr>
            <w:r>
              <w:rPr>
                <w:rFonts w:hint="eastAsia" w:asciiTheme="minorEastAsia" w:hAnsiTheme="minorEastAsia" w:eastAsiaTheme="minorEastAsia"/>
              </w:rPr>
              <w:t>闭赛式</w:t>
            </w:r>
          </w:p>
        </w:tc>
        <w:tc>
          <w:tcPr>
            <w:tcW w:w="1222" w:type="dxa"/>
            <w:vAlign w:val="center"/>
          </w:tcPr>
          <w:p>
            <w:pPr>
              <w:pStyle w:val="36"/>
              <w:rPr>
                <w:rFonts w:asciiTheme="minorEastAsia" w:hAnsiTheme="minorEastAsia" w:eastAsiaTheme="minorEastAsia"/>
              </w:rPr>
            </w:pPr>
            <w:r>
              <w:rPr>
                <w:rFonts w:hint="eastAsia" w:asciiTheme="minorEastAsia" w:hAnsiTheme="minorEastAsia" w:eastAsiaTheme="minorEastAsia"/>
              </w:rPr>
              <w:t>会议室</w:t>
            </w:r>
          </w:p>
        </w:tc>
        <w:tc>
          <w:tcPr>
            <w:tcW w:w="2327" w:type="dxa"/>
            <w:vAlign w:val="center"/>
          </w:tcPr>
          <w:p>
            <w:pPr>
              <w:pStyle w:val="36"/>
              <w:rPr>
                <w:rFonts w:asciiTheme="minorEastAsia" w:hAnsiTheme="minorEastAsia" w:eastAsiaTheme="minorEastAsia"/>
              </w:rPr>
            </w:pPr>
            <w:r>
              <w:rPr>
                <w:rFonts w:hint="eastAsia" w:asciiTheme="minorEastAsia" w:hAnsiTheme="minorEastAsia" w:eastAsiaTheme="minorEastAsia"/>
              </w:rPr>
              <w:t>参赛队、裁判、监督、工作人员</w:t>
            </w:r>
          </w:p>
        </w:tc>
      </w:tr>
    </w:tbl>
    <w:p>
      <w:pPr>
        <w:snapToGrid w:val="0"/>
        <w:spacing w:line="288" w:lineRule="auto"/>
        <w:ind w:firstLine="480" w:firstLineChars="200"/>
        <w:contextualSpacing/>
        <w:rPr>
          <w:rFonts w:ascii="宋体" w:cs="仿宋"/>
          <w:b/>
          <w:sz w:val="24"/>
          <w:szCs w:val="24"/>
        </w:rPr>
      </w:pPr>
      <w:r>
        <w:rPr>
          <w:rFonts w:hint="eastAsia" w:ascii="宋体" w:hAnsi="宋体" w:cs="仿宋"/>
          <w:b/>
          <w:sz w:val="24"/>
          <w:szCs w:val="24"/>
        </w:rPr>
        <w:t>四、竞赛赛卷</w:t>
      </w:r>
    </w:p>
    <w:p>
      <w:pPr>
        <w:snapToGrid w:val="0"/>
        <w:spacing w:line="288" w:lineRule="auto"/>
        <w:ind w:firstLine="480" w:firstLineChars="200"/>
        <w:contextualSpacing/>
        <w:rPr>
          <w:rFonts w:ascii="宋体"/>
          <w:color w:val="000000"/>
          <w:sz w:val="24"/>
          <w:szCs w:val="24"/>
        </w:rPr>
      </w:pPr>
      <w:r>
        <w:rPr>
          <w:rFonts w:hint="eastAsia" w:ascii="宋体"/>
          <w:color w:val="000000"/>
          <w:sz w:val="24"/>
          <w:szCs w:val="24"/>
        </w:rPr>
        <w:t xml:space="preserve">（一）赛项组委会下设的赛项专家组负责本赛项赛题的编制工作。赛题编制遵从公开、公平、公正原则。 </w:t>
      </w:r>
    </w:p>
    <w:p>
      <w:pPr>
        <w:snapToGrid w:val="0"/>
        <w:spacing w:line="288" w:lineRule="auto"/>
        <w:ind w:firstLine="480" w:firstLineChars="200"/>
        <w:contextualSpacing/>
        <w:rPr>
          <w:rFonts w:ascii="宋体"/>
          <w:color w:val="000000"/>
          <w:sz w:val="24"/>
          <w:szCs w:val="24"/>
        </w:rPr>
      </w:pPr>
      <w:r>
        <w:rPr>
          <w:rFonts w:hint="eastAsia" w:ascii="宋体"/>
          <w:color w:val="000000"/>
          <w:sz w:val="24"/>
          <w:szCs w:val="24"/>
        </w:rPr>
        <w:t>（二）比赛前10天左右，由专家组负责组建10套赛卷。</w:t>
      </w:r>
    </w:p>
    <w:p>
      <w:pPr>
        <w:snapToGrid w:val="0"/>
        <w:spacing w:line="288" w:lineRule="auto"/>
        <w:ind w:firstLine="480" w:firstLineChars="200"/>
        <w:contextualSpacing/>
        <w:rPr>
          <w:rFonts w:ascii="宋体"/>
          <w:color w:val="000000"/>
          <w:sz w:val="24"/>
          <w:szCs w:val="24"/>
        </w:rPr>
      </w:pPr>
      <w:r>
        <w:rPr>
          <w:rFonts w:hint="eastAsia" w:ascii="宋体"/>
          <w:color w:val="000000"/>
          <w:sz w:val="24"/>
          <w:szCs w:val="24"/>
        </w:rPr>
        <w:t>（三）正式比赛前三天内，对赛卷随机排序后，在监督长的监督下，由裁判长指定相关人员抽取正式赛卷与备用赛卷。</w:t>
      </w:r>
    </w:p>
    <w:p>
      <w:pPr>
        <w:snapToGrid w:val="0"/>
        <w:spacing w:line="288" w:lineRule="auto"/>
        <w:ind w:firstLine="480" w:firstLineChars="200"/>
        <w:contextualSpacing/>
        <w:rPr>
          <w:rFonts w:ascii="宋体"/>
          <w:color w:val="000000"/>
          <w:sz w:val="24"/>
          <w:szCs w:val="24"/>
        </w:rPr>
      </w:pPr>
      <w:r>
        <w:rPr>
          <w:rFonts w:hint="eastAsia" w:ascii="宋体"/>
          <w:color w:val="000000"/>
          <w:sz w:val="24"/>
          <w:szCs w:val="24"/>
        </w:rPr>
        <w:t>（四）竞赛试题样卷见附件。</w:t>
      </w:r>
    </w:p>
    <w:p>
      <w:pPr>
        <w:snapToGrid w:val="0"/>
        <w:spacing w:line="288" w:lineRule="auto"/>
        <w:ind w:firstLine="480" w:firstLineChars="200"/>
        <w:contextualSpacing/>
        <w:rPr>
          <w:rFonts w:ascii="宋体" w:cs="仿宋"/>
          <w:b/>
          <w:sz w:val="24"/>
          <w:szCs w:val="24"/>
        </w:rPr>
      </w:pPr>
      <w:r>
        <w:rPr>
          <w:rFonts w:hint="eastAsia" w:ascii="宋体" w:hAnsi="宋体" w:cs="仿宋"/>
          <w:b/>
          <w:sz w:val="24"/>
          <w:szCs w:val="24"/>
        </w:rPr>
        <w:t>五、评分规定</w:t>
      </w:r>
    </w:p>
    <w:p>
      <w:pPr>
        <w:spacing w:line="288" w:lineRule="auto"/>
        <w:ind w:firstLine="480" w:firstLineChars="200"/>
        <w:contextualSpacing/>
        <w:rPr>
          <w:rFonts w:ascii="宋体"/>
          <w:color w:val="000000"/>
          <w:sz w:val="24"/>
          <w:szCs w:val="24"/>
        </w:rPr>
      </w:pPr>
      <w:r>
        <w:rPr>
          <w:rFonts w:hint="eastAsia" w:ascii="宋体" w:hAnsi="宋体"/>
          <w:color w:val="000000"/>
          <w:sz w:val="24"/>
          <w:szCs w:val="24"/>
        </w:rPr>
        <w:t>本届制造单元智能化改造与集成技术大赛比赛时间为30</w:t>
      </w:r>
      <w:r>
        <w:rPr>
          <w:rFonts w:ascii="宋体" w:hAnsi="宋体"/>
          <w:color w:val="000000"/>
          <w:sz w:val="24"/>
          <w:szCs w:val="24"/>
        </w:rPr>
        <w:t>0</w:t>
      </w:r>
      <w:r>
        <w:rPr>
          <w:rFonts w:hint="eastAsia" w:ascii="宋体" w:hAnsi="宋体"/>
          <w:color w:val="000000"/>
          <w:sz w:val="24"/>
          <w:szCs w:val="24"/>
        </w:rPr>
        <w:t>分钟，评分为五个部分：系统集成方案设计、硬件搭建及电气接线、制造单元的集成改造、控制网络的集成调试、云端数据服务的调试、职业素养，共计总分为</w:t>
      </w:r>
      <w:r>
        <w:rPr>
          <w:rFonts w:ascii="宋体" w:hAnsi="宋体"/>
          <w:color w:val="000000"/>
          <w:sz w:val="24"/>
          <w:szCs w:val="24"/>
        </w:rPr>
        <w:t>100</w:t>
      </w:r>
      <w:r>
        <w:rPr>
          <w:rFonts w:hint="eastAsia" w:ascii="宋体" w:hAnsi="宋体"/>
          <w:color w:val="000000"/>
          <w:sz w:val="24"/>
          <w:szCs w:val="24"/>
        </w:rPr>
        <w:t>分。</w:t>
      </w:r>
    </w:p>
    <w:p>
      <w:pPr>
        <w:pStyle w:val="34"/>
        <w:numPr>
          <w:ilvl w:val="0"/>
          <w:numId w:val="1"/>
        </w:numPr>
        <w:spacing w:line="288" w:lineRule="auto"/>
        <w:ind w:firstLineChars="0"/>
        <w:contextualSpacing/>
        <w:rPr>
          <w:rFonts w:ascii="宋体" w:hAnsi="宋体"/>
          <w:sz w:val="24"/>
          <w:szCs w:val="24"/>
        </w:rPr>
      </w:pPr>
      <w:r>
        <w:rPr>
          <w:rFonts w:hint="eastAsia" w:ascii="宋体" w:hAnsi="宋体"/>
          <w:sz w:val="24"/>
          <w:szCs w:val="24"/>
        </w:rPr>
        <w:t>评分细则</w:t>
      </w:r>
    </w:p>
    <w:p>
      <w:pPr>
        <w:pStyle w:val="38"/>
        <w:ind w:left="480"/>
      </w:pPr>
      <w:r>
        <w:rPr>
          <w:rFonts w:hint="eastAsia"/>
        </w:rPr>
        <w:t>评分指标权重分配</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7"/>
        <w:gridCol w:w="816"/>
        <w:gridCol w:w="5212"/>
        <w:gridCol w:w="9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Align w:val="center"/>
          </w:tcPr>
          <w:p>
            <w:pPr>
              <w:pStyle w:val="36"/>
              <w:rPr>
                <w:rFonts w:asciiTheme="minorEastAsia" w:hAnsiTheme="minorEastAsia" w:eastAsiaTheme="minorEastAsia"/>
              </w:rPr>
            </w:pPr>
            <w:r>
              <w:rPr>
                <w:rFonts w:hint="eastAsia" w:asciiTheme="minorEastAsia" w:hAnsiTheme="minorEastAsia" w:eastAsiaTheme="minorEastAsia"/>
              </w:rPr>
              <w:t>一级指标</w:t>
            </w:r>
          </w:p>
        </w:tc>
        <w:tc>
          <w:tcPr>
            <w:tcW w:w="816" w:type="dxa"/>
            <w:vAlign w:val="center"/>
          </w:tcPr>
          <w:p>
            <w:pPr>
              <w:pStyle w:val="36"/>
              <w:rPr>
                <w:rFonts w:asciiTheme="minorEastAsia" w:hAnsiTheme="minorEastAsia" w:eastAsiaTheme="minorEastAsia"/>
              </w:rPr>
            </w:pPr>
            <w:r>
              <w:rPr>
                <w:rFonts w:hint="eastAsia" w:asciiTheme="minorEastAsia" w:hAnsiTheme="minorEastAsia" w:eastAsiaTheme="minorEastAsia"/>
              </w:rPr>
              <w:t>比例</w:t>
            </w:r>
          </w:p>
        </w:tc>
        <w:tc>
          <w:tcPr>
            <w:tcW w:w="5212" w:type="dxa"/>
            <w:vAlign w:val="center"/>
          </w:tcPr>
          <w:p>
            <w:pPr>
              <w:pStyle w:val="36"/>
              <w:rPr>
                <w:rFonts w:asciiTheme="minorEastAsia" w:hAnsiTheme="minorEastAsia" w:eastAsiaTheme="minorEastAsia"/>
              </w:rPr>
            </w:pPr>
            <w:r>
              <w:rPr>
                <w:rFonts w:hint="eastAsia" w:asciiTheme="minorEastAsia" w:hAnsiTheme="minorEastAsia" w:eastAsiaTheme="minorEastAsia"/>
              </w:rPr>
              <w:t>二级指标</w:t>
            </w:r>
          </w:p>
        </w:tc>
        <w:tc>
          <w:tcPr>
            <w:tcW w:w="911" w:type="dxa"/>
            <w:vAlign w:val="center"/>
          </w:tcPr>
          <w:p>
            <w:pPr>
              <w:pStyle w:val="36"/>
              <w:rPr>
                <w:rFonts w:asciiTheme="minorEastAsia" w:hAnsiTheme="minorEastAsia" w:eastAsiaTheme="minorEastAsia"/>
              </w:rPr>
            </w:pPr>
            <w:r>
              <w:rPr>
                <w:rFonts w:hint="eastAsia" w:asciiTheme="minorEastAsia" w:hAnsiTheme="minorEastAsia" w:eastAsiaTheme="minorEastAsia"/>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restart"/>
            <w:vAlign w:val="center"/>
          </w:tcPr>
          <w:p>
            <w:pPr>
              <w:pStyle w:val="36"/>
              <w:rPr>
                <w:rFonts w:asciiTheme="minorEastAsia" w:hAnsiTheme="minorEastAsia" w:eastAsiaTheme="minorEastAsia"/>
              </w:rPr>
            </w:pPr>
            <w:r>
              <w:rPr>
                <w:rFonts w:hint="eastAsia" w:asciiTheme="minorEastAsia" w:hAnsiTheme="minorEastAsia" w:eastAsiaTheme="minorEastAsia"/>
              </w:rPr>
              <w:t>制造单元改造方案</w:t>
            </w:r>
          </w:p>
        </w:tc>
        <w:tc>
          <w:tcPr>
            <w:tcW w:w="816" w:type="dxa"/>
            <w:vMerge w:val="restart"/>
            <w:vAlign w:val="center"/>
          </w:tcPr>
          <w:p>
            <w:pPr>
              <w:pStyle w:val="36"/>
              <w:rPr>
                <w:rFonts w:asciiTheme="minorEastAsia" w:hAnsiTheme="minorEastAsia" w:eastAsiaTheme="minorEastAsia"/>
              </w:rPr>
            </w:pPr>
            <w:r>
              <w:rPr>
                <w:rFonts w:asciiTheme="minorEastAsia" w:hAnsiTheme="minorEastAsia" w:eastAsiaTheme="minorEastAsia"/>
              </w:rPr>
              <w:t>15%</w:t>
            </w:r>
          </w:p>
        </w:tc>
        <w:tc>
          <w:tcPr>
            <w:tcW w:w="5212" w:type="dxa"/>
          </w:tcPr>
          <w:p>
            <w:pPr>
              <w:pStyle w:val="37"/>
              <w:rPr>
                <w:rFonts w:asciiTheme="minorEastAsia" w:hAnsiTheme="minorEastAsia" w:eastAsiaTheme="minorEastAsia"/>
              </w:rPr>
            </w:pPr>
            <w:r>
              <w:rPr>
                <w:rFonts w:asciiTheme="minorEastAsia" w:hAnsiTheme="minorEastAsia" w:eastAsiaTheme="minorEastAsia"/>
              </w:rPr>
              <w:t>1.</w:t>
            </w:r>
            <w:r>
              <w:rPr>
                <w:rFonts w:hint="eastAsia" w:asciiTheme="minorEastAsia" w:hAnsiTheme="minorEastAsia" w:eastAsiaTheme="minorEastAsia"/>
              </w:rPr>
              <w:t>系统布局方案设计</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）系统布局规划框图绘制</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）布局位置与真实设备布置相同</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）清楚注明各单元名称</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3</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tcPr>
          <w:p>
            <w:pPr>
              <w:pStyle w:val="36"/>
              <w:rPr>
                <w:rFonts w:asciiTheme="minorEastAsia" w:hAnsiTheme="minorEastAsia" w:eastAsiaTheme="minorEastAsia"/>
              </w:rPr>
            </w:pPr>
          </w:p>
        </w:tc>
        <w:tc>
          <w:tcPr>
            <w:tcW w:w="816" w:type="dxa"/>
            <w:vMerge w:val="continue"/>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2.</w:t>
            </w:r>
            <w:r>
              <w:rPr>
                <w:rFonts w:hint="eastAsia" w:asciiTheme="minorEastAsia" w:hAnsiTheme="minorEastAsia" w:eastAsiaTheme="minorEastAsia"/>
              </w:rPr>
              <w:t>控制系统方案设计</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）控制系统拓扑图绘制</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）拓扑结构与实际</w:t>
            </w:r>
            <w:r>
              <w:rPr>
                <w:rFonts w:asciiTheme="minorEastAsia" w:hAnsiTheme="minorEastAsia" w:eastAsiaTheme="minorEastAsia"/>
              </w:rPr>
              <w:t>TIA</w:t>
            </w:r>
            <w:r>
              <w:rPr>
                <w:rFonts w:hint="eastAsia" w:asciiTheme="minorEastAsia" w:hAnsiTheme="minorEastAsia" w:eastAsiaTheme="minorEastAsia"/>
              </w:rPr>
              <w:t>设备网络设置相同</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）清楚注明各设备名称</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）清楚注明各设备</w:t>
            </w:r>
            <w:r>
              <w:rPr>
                <w:rFonts w:asciiTheme="minorEastAsia" w:hAnsiTheme="minorEastAsia" w:eastAsiaTheme="minorEastAsia"/>
              </w:rPr>
              <w:t>IP</w:t>
            </w:r>
            <w:r>
              <w:rPr>
                <w:rFonts w:hint="eastAsia" w:asciiTheme="minorEastAsia" w:hAnsiTheme="minorEastAsia" w:eastAsiaTheme="minorEastAsia"/>
              </w:rPr>
              <w:t>地址</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3</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tcPr>
          <w:p>
            <w:pPr>
              <w:pStyle w:val="36"/>
              <w:rPr>
                <w:rFonts w:asciiTheme="minorEastAsia" w:hAnsiTheme="minorEastAsia" w:eastAsiaTheme="minorEastAsia"/>
              </w:rPr>
            </w:pPr>
          </w:p>
        </w:tc>
        <w:tc>
          <w:tcPr>
            <w:tcW w:w="816" w:type="dxa"/>
            <w:vMerge w:val="continue"/>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3.</w:t>
            </w:r>
            <w:r>
              <w:rPr>
                <w:rFonts w:hint="eastAsia" w:asciiTheme="minorEastAsia" w:hAnsiTheme="minorEastAsia" w:eastAsiaTheme="minorEastAsia"/>
              </w:rPr>
              <w:t>虚拟仿真</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）根据实际布局情况完成三维环境搭建</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）完成轮毂零件的检测工序流程动作</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）完成轮毂零件的其他工艺流程动作</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）动作流程中不得出现工业机器人不可达点、轴超限点或奇异点</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5</w:t>
            </w:r>
            <w:r>
              <w:rPr>
                <w:rFonts w:hint="eastAsia" w:asciiTheme="minorEastAsia" w:hAnsiTheme="minorEastAsia" w:eastAsiaTheme="minorEastAsia"/>
              </w:rPr>
              <w:t>）动作流程中不得出现工具与工业机器人脱离情况</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6</w:t>
            </w:r>
            <w:r>
              <w:rPr>
                <w:rFonts w:hint="eastAsia" w:asciiTheme="minorEastAsia" w:hAnsiTheme="minorEastAsia" w:eastAsiaTheme="minorEastAsia"/>
              </w:rPr>
              <w:t>）动作流程中不得出现轮毂未按照流程移动情况</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9</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restart"/>
            <w:vAlign w:val="center"/>
          </w:tcPr>
          <w:p>
            <w:pPr>
              <w:pStyle w:val="36"/>
              <w:rPr>
                <w:rFonts w:asciiTheme="minorEastAsia" w:hAnsiTheme="minorEastAsia" w:eastAsiaTheme="minorEastAsia"/>
              </w:rPr>
            </w:pPr>
            <w:r>
              <w:rPr>
                <w:rFonts w:hint="eastAsia" w:asciiTheme="minorEastAsia" w:hAnsiTheme="minorEastAsia" w:eastAsiaTheme="minorEastAsia"/>
              </w:rPr>
              <w:t>硬件搭建及电气接线</w:t>
            </w:r>
          </w:p>
        </w:tc>
        <w:tc>
          <w:tcPr>
            <w:tcW w:w="816" w:type="dxa"/>
            <w:vMerge w:val="restart"/>
            <w:vAlign w:val="center"/>
          </w:tcPr>
          <w:p>
            <w:pPr>
              <w:pStyle w:val="36"/>
              <w:rPr>
                <w:rFonts w:asciiTheme="minorEastAsia" w:hAnsiTheme="minorEastAsia" w:eastAsiaTheme="minorEastAsia"/>
              </w:rPr>
            </w:pPr>
            <w:r>
              <w:rPr>
                <w:rFonts w:asciiTheme="minorEastAsia" w:hAnsiTheme="minorEastAsia" w:eastAsiaTheme="minorEastAsia"/>
              </w:rPr>
              <w:t>10%</w:t>
            </w:r>
          </w:p>
        </w:tc>
        <w:tc>
          <w:tcPr>
            <w:tcW w:w="5212" w:type="dxa"/>
          </w:tcPr>
          <w:p>
            <w:pPr>
              <w:pStyle w:val="37"/>
              <w:rPr>
                <w:rFonts w:asciiTheme="minorEastAsia" w:hAnsiTheme="minorEastAsia" w:eastAsiaTheme="minorEastAsia"/>
              </w:rPr>
            </w:pPr>
            <w:r>
              <w:rPr>
                <w:rFonts w:asciiTheme="minorEastAsia" w:hAnsiTheme="minorEastAsia" w:eastAsiaTheme="minorEastAsia"/>
              </w:rPr>
              <w:t>1.</w:t>
            </w:r>
            <w:r>
              <w:rPr>
                <w:rFonts w:hint="eastAsia" w:asciiTheme="minorEastAsia" w:hAnsiTheme="minorEastAsia" w:eastAsiaTheme="minorEastAsia"/>
              </w:rPr>
              <w:t>硬件搭建</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）工作站各单元安装牢固、稳定</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）工作站外侧门板全部安装</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）工作站内侧门板全部拆卸</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4</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2.</w:t>
            </w:r>
            <w:r>
              <w:rPr>
                <w:rFonts w:hint="eastAsia" w:asciiTheme="minorEastAsia" w:hAnsiTheme="minorEastAsia" w:eastAsiaTheme="minorEastAsia"/>
              </w:rPr>
              <w:t>电路气路通讯接线</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）工作站各单元电路连接</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）工作站各单元气路连接</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）工作站各单元通信连接</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）线槽盖全部盖好</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5</w:t>
            </w:r>
            <w:r>
              <w:rPr>
                <w:rFonts w:hint="eastAsia" w:asciiTheme="minorEastAsia" w:hAnsiTheme="minorEastAsia" w:eastAsiaTheme="minorEastAsia"/>
              </w:rPr>
              <w:t>）电源线放入线槽</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6</w:t>
            </w:r>
            <w:r>
              <w:rPr>
                <w:rFonts w:hint="eastAsia" w:asciiTheme="minorEastAsia" w:hAnsiTheme="minorEastAsia" w:eastAsiaTheme="minorEastAsia"/>
              </w:rPr>
              <w:t>）气管无漏气现象</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6</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restart"/>
            <w:vAlign w:val="center"/>
          </w:tcPr>
          <w:p>
            <w:pPr>
              <w:pStyle w:val="36"/>
              <w:rPr>
                <w:rFonts w:asciiTheme="minorEastAsia" w:hAnsiTheme="minorEastAsia" w:eastAsiaTheme="minorEastAsia"/>
              </w:rPr>
            </w:pPr>
            <w:r>
              <w:rPr>
                <w:rFonts w:hint="eastAsia" w:asciiTheme="minorEastAsia" w:hAnsiTheme="minorEastAsia" w:eastAsiaTheme="minorEastAsia"/>
              </w:rPr>
              <w:t>制造单元的集成改造</w:t>
            </w:r>
          </w:p>
        </w:tc>
        <w:tc>
          <w:tcPr>
            <w:tcW w:w="816" w:type="dxa"/>
            <w:vMerge w:val="restart"/>
            <w:vAlign w:val="center"/>
          </w:tcPr>
          <w:p>
            <w:pPr>
              <w:pStyle w:val="36"/>
              <w:rPr>
                <w:rFonts w:asciiTheme="minorEastAsia" w:hAnsiTheme="minorEastAsia" w:eastAsiaTheme="minorEastAsia"/>
              </w:rPr>
            </w:pPr>
            <w:r>
              <w:rPr>
                <w:rFonts w:asciiTheme="minorEastAsia" w:hAnsiTheme="minorEastAsia" w:eastAsiaTheme="minorEastAsia"/>
              </w:rPr>
              <w:t>35%</w:t>
            </w:r>
          </w:p>
        </w:tc>
        <w:tc>
          <w:tcPr>
            <w:tcW w:w="5212" w:type="dxa"/>
          </w:tcPr>
          <w:p>
            <w:pPr>
              <w:pStyle w:val="37"/>
              <w:rPr>
                <w:rFonts w:asciiTheme="minorEastAsia" w:hAnsiTheme="minorEastAsia" w:eastAsiaTheme="minorEastAsia"/>
              </w:rPr>
            </w:pPr>
            <w:r>
              <w:rPr>
                <w:rFonts w:asciiTheme="minorEastAsia" w:hAnsiTheme="minorEastAsia" w:eastAsiaTheme="minorEastAsia"/>
              </w:rPr>
              <w:t>1.</w:t>
            </w:r>
            <w:r>
              <w:rPr>
                <w:rFonts w:hint="eastAsia" w:asciiTheme="minorEastAsia" w:hAnsiTheme="minorEastAsia" w:eastAsiaTheme="minorEastAsia"/>
              </w:rPr>
              <w:t>控制系统组态设置</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）完成控制系统组态设置，每个远程</w:t>
            </w:r>
            <w:r>
              <w:rPr>
                <w:rFonts w:asciiTheme="minorEastAsia" w:hAnsiTheme="minorEastAsia" w:eastAsiaTheme="minorEastAsia"/>
              </w:rPr>
              <w:t>IO</w:t>
            </w:r>
            <w:r>
              <w:rPr>
                <w:rFonts w:hint="eastAsia" w:asciiTheme="minorEastAsia" w:hAnsiTheme="minorEastAsia" w:eastAsiaTheme="minorEastAsia"/>
              </w:rPr>
              <w:t>模块通讯正常</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）完成工业机器人的组态设置，</w:t>
            </w:r>
            <w:r>
              <w:rPr>
                <w:rFonts w:asciiTheme="minorEastAsia" w:hAnsiTheme="minorEastAsia" w:eastAsiaTheme="minorEastAsia"/>
              </w:rPr>
              <w:t>IO</w:t>
            </w:r>
            <w:r>
              <w:rPr>
                <w:rFonts w:hint="eastAsia" w:asciiTheme="minorEastAsia" w:hAnsiTheme="minorEastAsia" w:eastAsiaTheme="minorEastAsia"/>
              </w:rPr>
              <w:t>输出正常</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）完成智能视觉的通讯组态，能触发拍照和结果输出</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）完成</w:t>
            </w:r>
            <w:r>
              <w:rPr>
                <w:rFonts w:asciiTheme="minorEastAsia" w:hAnsiTheme="minorEastAsia" w:eastAsiaTheme="minorEastAsia"/>
              </w:rPr>
              <w:t>WinCC</w:t>
            </w:r>
            <w:r>
              <w:rPr>
                <w:rFonts w:hint="eastAsia" w:asciiTheme="minorEastAsia" w:hAnsiTheme="minorEastAsia" w:eastAsiaTheme="minorEastAsia"/>
              </w:rPr>
              <w:t>的项目建立和通讯组态，变量通讯正常</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5</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2.</w:t>
            </w:r>
            <w:r>
              <w:rPr>
                <w:rFonts w:hint="eastAsia" w:asciiTheme="minorEastAsia" w:hAnsiTheme="minorEastAsia" w:eastAsiaTheme="minorEastAsia"/>
              </w:rPr>
              <w:t>执行单元和工具单元智能化改造</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）平移滑台移动时工业机器人保持安全姿态</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）平移滑台根据流程要求定位移动</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）工业机器人实现快换工具更换动作</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）工业机器人利用工具拾取</w:t>
            </w:r>
            <w:r>
              <w:rPr>
                <w:rFonts w:asciiTheme="minorEastAsia" w:hAnsiTheme="minorEastAsia" w:eastAsiaTheme="minorEastAsia"/>
              </w:rPr>
              <w:t>/</w:t>
            </w:r>
            <w:r>
              <w:rPr>
                <w:rFonts w:hint="eastAsia" w:asciiTheme="minorEastAsia" w:hAnsiTheme="minorEastAsia" w:eastAsiaTheme="minorEastAsia"/>
              </w:rPr>
              <w:t>释放轮毂零件及打磨轮毂零件</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8</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3.</w:t>
            </w:r>
            <w:r>
              <w:rPr>
                <w:rFonts w:hint="eastAsia" w:asciiTheme="minorEastAsia" w:hAnsiTheme="minorEastAsia" w:eastAsiaTheme="minorEastAsia"/>
              </w:rPr>
              <w:t>仓储单元智能化改造</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）根据任务要求完成各流程动作</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）工业机器人快换工具的正常使用</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）轮毂产品正常拾取</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）轮毂产品准确放置</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4</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4.</w:t>
            </w:r>
            <w:r>
              <w:rPr>
                <w:rFonts w:hint="eastAsia" w:asciiTheme="minorEastAsia" w:hAnsiTheme="minorEastAsia" w:eastAsiaTheme="minorEastAsia"/>
              </w:rPr>
              <w:t>加工单元智能化改造</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）在数控系统中建立刀具信息表，能触发虚拟刀库调用</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）在机床未动作时主轴位置处于机床坐标系原点，不影响上下料动作</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）按图纸完成加工程序编制，能实现对零件数控加工</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）根据任务要求完成各流程动作</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5</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5.</w:t>
            </w:r>
            <w:r>
              <w:rPr>
                <w:rFonts w:hint="eastAsia" w:asciiTheme="minorEastAsia" w:hAnsiTheme="minorEastAsia" w:eastAsiaTheme="minorEastAsia"/>
              </w:rPr>
              <w:t>打磨单元智能化改造</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）根据任务要求完成各流程动作</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）工业机器人快换工具的正常使用</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）轮毂产品正常拾取</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）轮毂产品准确放置</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4</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6.</w:t>
            </w:r>
            <w:r>
              <w:rPr>
                <w:rFonts w:hint="eastAsia" w:asciiTheme="minorEastAsia" w:hAnsiTheme="minorEastAsia" w:eastAsiaTheme="minorEastAsia"/>
              </w:rPr>
              <w:t>检测单元智能化改造</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）根据任务要求完成各流程动作</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）工业机器人快换工具的正常使用</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）轮毂产品正常拾取</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）轮毂产品准确放置</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5</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7.</w:t>
            </w:r>
            <w:r>
              <w:rPr>
                <w:rFonts w:hint="eastAsia" w:asciiTheme="minorEastAsia" w:hAnsiTheme="minorEastAsia" w:eastAsiaTheme="minorEastAsia"/>
              </w:rPr>
              <w:t>分拣单元智能化改造</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）根据任务要求完成各流程动作</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）工业机器人快换工具的正常使用</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）轮毂产品正常拾取</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）轮毂产品准确放置</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4</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restart"/>
            <w:vAlign w:val="center"/>
          </w:tcPr>
          <w:p>
            <w:pPr>
              <w:pStyle w:val="36"/>
              <w:rPr>
                <w:rFonts w:asciiTheme="minorEastAsia" w:hAnsiTheme="minorEastAsia" w:eastAsiaTheme="minorEastAsia"/>
              </w:rPr>
            </w:pPr>
            <w:r>
              <w:rPr>
                <w:rFonts w:hint="eastAsia" w:asciiTheme="minorEastAsia" w:hAnsiTheme="minorEastAsia" w:eastAsiaTheme="minorEastAsia"/>
              </w:rPr>
              <w:t>控制网络的集成调试</w:t>
            </w:r>
          </w:p>
        </w:tc>
        <w:tc>
          <w:tcPr>
            <w:tcW w:w="816" w:type="dxa"/>
            <w:vMerge w:val="restart"/>
            <w:vAlign w:val="center"/>
          </w:tcPr>
          <w:p>
            <w:pPr>
              <w:pStyle w:val="36"/>
              <w:rPr>
                <w:rFonts w:asciiTheme="minorEastAsia" w:hAnsiTheme="minorEastAsia" w:eastAsiaTheme="minorEastAsia"/>
              </w:rPr>
            </w:pPr>
            <w:r>
              <w:rPr>
                <w:rFonts w:asciiTheme="minorEastAsia" w:hAnsiTheme="minorEastAsia" w:eastAsiaTheme="minorEastAsia"/>
              </w:rPr>
              <w:t>30%</w:t>
            </w:r>
          </w:p>
        </w:tc>
        <w:tc>
          <w:tcPr>
            <w:tcW w:w="5212" w:type="dxa"/>
          </w:tcPr>
          <w:p>
            <w:pPr>
              <w:pStyle w:val="37"/>
              <w:rPr>
                <w:rFonts w:asciiTheme="minorEastAsia" w:hAnsiTheme="minorEastAsia" w:eastAsiaTheme="minorEastAsia"/>
              </w:rPr>
            </w:pPr>
            <w:r>
              <w:rPr>
                <w:rFonts w:asciiTheme="minorEastAsia" w:hAnsiTheme="minorEastAsia" w:eastAsiaTheme="minorEastAsia"/>
              </w:rPr>
              <w:t>1.</w:t>
            </w:r>
            <w:r>
              <w:rPr>
                <w:rFonts w:hint="eastAsia" w:asciiTheme="minorEastAsia" w:hAnsiTheme="minorEastAsia" w:eastAsiaTheme="minorEastAsia"/>
              </w:rPr>
              <w:t>应用平台界面开发</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）完成欢迎界面的界面绘制和功能定义</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）完成手动界面的界面绘制和功能定义</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）完成监控界面的界面绘制和功能定义</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）完成订单界面的界面绘制和功能定义</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8</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2.</w:t>
            </w:r>
            <w:r>
              <w:rPr>
                <w:rFonts w:hint="eastAsia" w:asciiTheme="minorEastAsia" w:hAnsiTheme="minorEastAsia" w:eastAsiaTheme="minorEastAsia"/>
              </w:rPr>
              <w:t>应用平台初始状态</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）在流程开始前，应用平台处于要求的初始状态</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）在流程结束后，应用平台处于要求的状态</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2</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3.</w:t>
            </w:r>
            <w:r>
              <w:rPr>
                <w:rFonts w:hint="eastAsia" w:asciiTheme="minorEastAsia" w:hAnsiTheme="minorEastAsia" w:eastAsiaTheme="minorEastAsia"/>
              </w:rPr>
              <w:t>批量化生产自动化流程</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）按照要求完成轮毂零件生产的完整流程</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）工业机器人处于自动模式完成流程演示</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）按照任务要求通过按钮启动流程</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）三色灯按照流程要求亮灭</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5</w:t>
            </w:r>
            <w:r>
              <w:rPr>
                <w:rFonts w:hint="eastAsia" w:asciiTheme="minorEastAsia" w:hAnsiTheme="minorEastAsia" w:eastAsiaTheme="minorEastAsia"/>
              </w:rPr>
              <w:t>）流程演示过程中，不得出现需要跳转程序情况</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10</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Merge w:val="continue"/>
            <w:vAlign w:val="center"/>
          </w:tcPr>
          <w:p>
            <w:pPr>
              <w:pStyle w:val="36"/>
              <w:rPr>
                <w:rFonts w:asciiTheme="minorEastAsia" w:hAnsiTheme="minorEastAsia" w:eastAsiaTheme="minorEastAsia"/>
              </w:rPr>
            </w:pPr>
          </w:p>
        </w:tc>
        <w:tc>
          <w:tcPr>
            <w:tcW w:w="816" w:type="dxa"/>
            <w:vMerge w:val="continue"/>
            <w:vAlign w:val="center"/>
          </w:tcPr>
          <w:p>
            <w:pPr>
              <w:pStyle w:val="36"/>
              <w:rPr>
                <w:rFonts w:asciiTheme="minorEastAsia" w:hAnsiTheme="minorEastAsia" w:eastAsiaTheme="minorEastAsia"/>
              </w:rPr>
            </w:pPr>
          </w:p>
        </w:tc>
        <w:tc>
          <w:tcPr>
            <w:tcW w:w="5212" w:type="dxa"/>
          </w:tcPr>
          <w:p>
            <w:pPr>
              <w:pStyle w:val="37"/>
              <w:rPr>
                <w:rFonts w:asciiTheme="minorEastAsia" w:hAnsiTheme="minorEastAsia" w:eastAsiaTheme="minorEastAsia"/>
              </w:rPr>
            </w:pPr>
            <w:r>
              <w:rPr>
                <w:rFonts w:asciiTheme="minorEastAsia" w:hAnsiTheme="minorEastAsia" w:eastAsiaTheme="minorEastAsia"/>
              </w:rPr>
              <w:t>4.</w:t>
            </w:r>
            <w:r>
              <w:rPr>
                <w:rFonts w:hint="eastAsia" w:asciiTheme="minorEastAsia" w:hAnsiTheme="minorEastAsia" w:eastAsiaTheme="minorEastAsia"/>
              </w:rPr>
              <w:t>定制化生产自动化流程</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1</w:t>
            </w:r>
            <w:r>
              <w:rPr>
                <w:rFonts w:hint="eastAsia" w:asciiTheme="minorEastAsia" w:hAnsiTheme="minorEastAsia" w:eastAsiaTheme="minorEastAsia"/>
              </w:rPr>
              <w:t>）按照要求完成轮毂零件生产的完整流程</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2</w:t>
            </w:r>
            <w:r>
              <w:rPr>
                <w:rFonts w:hint="eastAsia" w:asciiTheme="minorEastAsia" w:hAnsiTheme="minorEastAsia" w:eastAsiaTheme="minorEastAsia"/>
              </w:rPr>
              <w:t>）工业机器人处于自动模式完成流程演示</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3</w:t>
            </w:r>
            <w:r>
              <w:rPr>
                <w:rFonts w:hint="eastAsia" w:asciiTheme="minorEastAsia" w:hAnsiTheme="minorEastAsia" w:eastAsiaTheme="minorEastAsia"/>
              </w:rPr>
              <w:t>）按照任务要求通过按钮启动流程</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4</w:t>
            </w:r>
            <w:r>
              <w:rPr>
                <w:rFonts w:hint="eastAsia" w:asciiTheme="minorEastAsia" w:hAnsiTheme="minorEastAsia" w:eastAsiaTheme="minorEastAsia"/>
              </w:rPr>
              <w:t>）三色灯按照流程要求亮灭</w:t>
            </w:r>
          </w:p>
          <w:p>
            <w:pPr>
              <w:pStyle w:val="37"/>
              <w:rPr>
                <w:rFonts w:asciiTheme="minorEastAsia" w:hAnsiTheme="minorEastAsia" w:eastAsiaTheme="minorEastAsia"/>
              </w:rPr>
            </w:pPr>
            <w:r>
              <w:rPr>
                <w:rFonts w:hint="eastAsia" w:asciiTheme="minorEastAsia" w:hAnsiTheme="minorEastAsia" w:eastAsiaTheme="minorEastAsia"/>
              </w:rPr>
              <w:t>（</w:t>
            </w:r>
            <w:r>
              <w:rPr>
                <w:rFonts w:asciiTheme="minorEastAsia" w:hAnsiTheme="minorEastAsia" w:eastAsiaTheme="minorEastAsia"/>
              </w:rPr>
              <w:t>5</w:t>
            </w:r>
            <w:r>
              <w:rPr>
                <w:rFonts w:hint="eastAsia" w:asciiTheme="minorEastAsia" w:hAnsiTheme="minorEastAsia" w:eastAsiaTheme="minorEastAsia"/>
              </w:rPr>
              <w:t>）流程演示过程中，不得出现需要跳转程序情况</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10</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Align w:val="center"/>
          </w:tcPr>
          <w:p>
            <w:pPr>
              <w:pStyle w:val="36"/>
              <w:rPr>
                <w:rFonts w:asciiTheme="minorEastAsia" w:hAnsiTheme="minorEastAsia" w:eastAsiaTheme="minorEastAsia"/>
              </w:rPr>
            </w:pPr>
            <w:r>
              <w:rPr>
                <w:rFonts w:hint="eastAsia" w:asciiTheme="minorEastAsia" w:hAnsiTheme="minorEastAsia" w:eastAsiaTheme="minorEastAsia"/>
              </w:rPr>
              <w:t>云服务的集成调试</w:t>
            </w:r>
          </w:p>
        </w:tc>
        <w:tc>
          <w:tcPr>
            <w:tcW w:w="816" w:type="dxa"/>
            <w:vAlign w:val="center"/>
          </w:tcPr>
          <w:p>
            <w:pPr>
              <w:pStyle w:val="36"/>
              <w:rPr>
                <w:rFonts w:asciiTheme="minorEastAsia" w:hAnsiTheme="minorEastAsia" w:eastAsiaTheme="minorEastAsia"/>
              </w:rPr>
            </w:pPr>
            <w:r>
              <w:rPr>
                <w:rFonts w:asciiTheme="minorEastAsia" w:hAnsiTheme="minorEastAsia" w:eastAsiaTheme="minorEastAsia"/>
              </w:rPr>
              <w:t>5%</w:t>
            </w:r>
          </w:p>
        </w:tc>
        <w:tc>
          <w:tcPr>
            <w:tcW w:w="5212" w:type="dxa"/>
          </w:tcPr>
          <w:p>
            <w:pPr>
              <w:pStyle w:val="37"/>
              <w:rPr>
                <w:rFonts w:asciiTheme="minorEastAsia" w:hAnsiTheme="minorEastAsia" w:eastAsiaTheme="minorEastAsia"/>
              </w:rPr>
            </w:pPr>
            <w:r>
              <w:rPr>
                <w:rFonts w:asciiTheme="minorEastAsia" w:hAnsiTheme="minorEastAsia" w:eastAsiaTheme="minorEastAsia"/>
              </w:rPr>
              <w:t>1.</w:t>
            </w:r>
            <w:r>
              <w:rPr>
                <w:rFonts w:hint="eastAsia" w:asciiTheme="minorEastAsia" w:hAnsiTheme="minorEastAsia" w:eastAsiaTheme="minorEastAsia"/>
              </w:rPr>
              <w:t>平板显示连接成功</w:t>
            </w:r>
          </w:p>
          <w:p>
            <w:pPr>
              <w:pStyle w:val="37"/>
              <w:rPr>
                <w:rFonts w:asciiTheme="minorEastAsia" w:hAnsiTheme="minorEastAsia" w:eastAsiaTheme="minorEastAsia"/>
              </w:rPr>
            </w:pPr>
            <w:r>
              <w:rPr>
                <w:rFonts w:asciiTheme="minorEastAsia" w:hAnsiTheme="minorEastAsia" w:eastAsiaTheme="minorEastAsia"/>
              </w:rPr>
              <w:t>2.</w:t>
            </w:r>
            <w:r>
              <w:rPr>
                <w:rFonts w:hint="eastAsia" w:asciiTheme="minorEastAsia" w:hAnsiTheme="minorEastAsia" w:eastAsiaTheme="minorEastAsia"/>
              </w:rPr>
              <w:t>云数据服务器有数据上传记录</w:t>
            </w:r>
          </w:p>
          <w:p>
            <w:pPr>
              <w:pStyle w:val="37"/>
              <w:rPr>
                <w:rFonts w:asciiTheme="minorEastAsia" w:hAnsiTheme="minorEastAsia" w:eastAsiaTheme="minorEastAsia"/>
              </w:rPr>
            </w:pPr>
            <w:r>
              <w:rPr>
                <w:rFonts w:asciiTheme="minorEastAsia" w:hAnsiTheme="minorEastAsia" w:eastAsiaTheme="minorEastAsia"/>
              </w:rPr>
              <w:t>3.</w:t>
            </w:r>
            <w:r>
              <w:rPr>
                <w:rFonts w:hint="eastAsia" w:asciiTheme="minorEastAsia" w:hAnsiTheme="minorEastAsia" w:eastAsiaTheme="minorEastAsia"/>
              </w:rPr>
              <w:t>平板监控界面各项参数与实际状态相同</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5</w:t>
            </w:r>
            <w:r>
              <w:rPr>
                <w:rFonts w:hint="eastAsia" w:asciiTheme="minorEastAsia" w:hAnsiTheme="minorEastAsia" w:eastAsiaTheme="minor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7" w:type="dxa"/>
            <w:vAlign w:val="center"/>
          </w:tcPr>
          <w:p>
            <w:pPr>
              <w:pStyle w:val="36"/>
              <w:rPr>
                <w:rFonts w:asciiTheme="minorEastAsia" w:hAnsiTheme="minorEastAsia" w:eastAsiaTheme="minorEastAsia"/>
              </w:rPr>
            </w:pPr>
            <w:r>
              <w:rPr>
                <w:rFonts w:hint="eastAsia" w:asciiTheme="minorEastAsia" w:hAnsiTheme="minorEastAsia" w:eastAsiaTheme="minorEastAsia"/>
              </w:rPr>
              <w:t>职业素养</w:t>
            </w:r>
          </w:p>
        </w:tc>
        <w:tc>
          <w:tcPr>
            <w:tcW w:w="816" w:type="dxa"/>
            <w:vAlign w:val="center"/>
          </w:tcPr>
          <w:p>
            <w:pPr>
              <w:pStyle w:val="36"/>
              <w:rPr>
                <w:rFonts w:asciiTheme="minorEastAsia" w:hAnsiTheme="minorEastAsia" w:eastAsiaTheme="minorEastAsia"/>
              </w:rPr>
            </w:pPr>
            <w:r>
              <w:rPr>
                <w:rFonts w:asciiTheme="minorEastAsia" w:hAnsiTheme="minorEastAsia" w:eastAsiaTheme="minorEastAsia"/>
              </w:rPr>
              <w:t>5%</w:t>
            </w:r>
          </w:p>
        </w:tc>
        <w:tc>
          <w:tcPr>
            <w:tcW w:w="5212" w:type="dxa"/>
          </w:tcPr>
          <w:p>
            <w:pPr>
              <w:pStyle w:val="37"/>
              <w:rPr>
                <w:rFonts w:asciiTheme="minorEastAsia" w:hAnsiTheme="minorEastAsia" w:eastAsiaTheme="minorEastAsia"/>
              </w:rPr>
            </w:pPr>
            <w:r>
              <w:rPr>
                <w:rFonts w:asciiTheme="minorEastAsia" w:hAnsiTheme="minorEastAsia" w:eastAsiaTheme="minorEastAsia"/>
              </w:rPr>
              <w:t>1.</w:t>
            </w:r>
            <w:r>
              <w:rPr>
                <w:rFonts w:hint="eastAsia" w:asciiTheme="minorEastAsia" w:hAnsiTheme="minorEastAsia" w:eastAsiaTheme="minorEastAsia"/>
              </w:rPr>
              <w:t>选手未身穿比赛服装、未穿电工绝缘鞋</w:t>
            </w:r>
          </w:p>
          <w:p>
            <w:pPr>
              <w:pStyle w:val="37"/>
              <w:rPr>
                <w:rFonts w:asciiTheme="minorEastAsia" w:hAnsiTheme="minorEastAsia" w:eastAsiaTheme="minorEastAsia"/>
              </w:rPr>
            </w:pPr>
            <w:r>
              <w:rPr>
                <w:rFonts w:asciiTheme="minorEastAsia" w:hAnsiTheme="minorEastAsia" w:eastAsiaTheme="minorEastAsia"/>
              </w:rPr>
              <w:t>2.</w:t>
            </w:r>
            <w:r>
              <w:rPr>
                <w:rFonts w:hint="eastAsia" w:asciiTheme="minorEastAsia" w:hAnsiTheme="minorEastAsia" w:eastAsiaTheme="minorEastAsia"/>
              </w:rPr>
              <w:t>气路连接及测试过程不符合安全规范</w:t>
            </w:r>
          </w:p>
          <w:p>
            <w:pPr>
              <w:pStyle w:val="37"/>
              <w:rPr>
                <w:rFonts w:asciiTheme="minorEastAsia" w:hAnsiTheme="minorEastAsia" w:eastAsiaTheme="minorEastAsia"/>
              </w:rPr>
            </w:pPr>
            <w:r>
              <w:rPr>
                <w:rFonts w:asciiTheme="minorEastAsia" w:hAnsiTheme="minorEastAsia" w:eastAsiaTheme="minorEastAsia"/>
              </w:rPr>
              <w:t>3.</w:t>
            </w:r>
            <w:r>
              <w:rPr>
                <w:rFonts w:hint="eastAsia" w:asciiTheme="minorEastAsia" w:hAnsiTheme="minorEastAsia" w:eastAsiaTheme="minorEastAsia"/>
              </w:rPr>
              <w:t>比赛过程中脱下安全帽</w:t>
            </w:r>
          </w:p>
          <w:p>
            <w:pPr>
              <w:pStyle w:val="37"/>
              <w:rPr>
                <w:rFonts w:asciiTheme="minorEastAsia" w:hAnsiTheme="minorEastAsia" w:eastAsiaTheme="minorEastAsia"/>
              </w:rPr>
            </w:pPr>
            <w:r>
              <w:rPr>
                <w:rFonts w:asciiTheme="minorEastAsia" w:hAnsiTheme="minorEastAsia" w:eastAsiaTheme="minorEastAsia"/>
              </w:rPr>
              <w:t>4.</w:t>
            </w:r>
            <w:r>
              <w:rPr>
                <w:rFonts w:hint="eastAsia" w:asciiTheme="minorEastAsia" w:hAnsiTheme="minorEastAsia" w:eastAsiaTheme="minorEastAsia"/>
              </w:rPr>
              <w:t>比赛过程中机器人工具掉落</w:t>
            </w:r>
          </w:p>
          <w:p>
            <w:pPr>
              <w:pStyle w:val="37"/>
              <w:rPr>
                <w:rFonts w:asciiTheme="minorEastAsia" w:hAnsiTheme="minorEastAsia" w:eastAsiaTheme="minorEastAsia"/>
              </w:rPr>
            </w:pPr>
            <w:r>
              <w:rPr>
                <w:rFonts w:asciiTheme="minorEastAsia" w:hAnsiTheme="minorEastAsia" w:eastAsiaTheme="minorEastAsia"/>
              </w:rPr>
              <w:t>5.</w:t>
            </w:r>
            <w:r>
              <w:rPr>
                <w:rFonts w:hint="eastAsia" w:asciiTheme="minorEastAsia" w:hAnsiTheme="minorEastAsia" w:eastAsiaTheme="minorEastAsia"/>
              </w:rPr>
              <w:t>比赛结束后，工具摆放杂乱，废料未清扫，耗材使用不合理</w:t>
            </w:r>
          </w:p>
          <w:p>
            <w:pPr>
              <w:pStyle w:val="37"/>
              <w:rPr>
                <w:rFonts w:asciiTheme="minorEastAsia" w:hAnsiTheme="minorEastAsia" w:eastAsiaTheme="minorEastAsia"/>
              </w:rPr>
            </w:pPr>
            <w:r>
              <w:rPr>
                <w:rFonts w:asciiTheme="minorEastAsia" w:hAnsiTheme="minorEastAsia" w:eastAsiaTheme="minorEastAsia"/>
              </w:rPr>
              <w:t>6.</w:t>
            </w:r>
            <w:r>
              <w:rPr>
                <w:rFonts w:hint="eastAsia" w:asciiTheme="minorEastAsia" w:hAnsiTheme="minorEastAsia" w:eastAsiaTheme="minorEastAsia"/>
              </w:rPr>
              <w:t>违反比赛规定，提前进行比赛操作或比赛终止仍继续操作的</w:t>
            </w:r>
          </w:p>
          <w:p>
            <w:pPr>
              <w:pStyle w:val="37"/>
              <w:rPr>
                <w:rFonts w:asciiTheme="minorEastAsia" w:hAnsiTheme="minorEastAsia" w:eastAsiaTheme="minorEastAsia"/>
              </w:rPr>
            </w:pPr>
            <w:r>
              <w:rPr>
                <w:rFonts w:asciiTheme="minorEastAsia" w:hAnsiTheme="minorEastAsia" w:eastAsiaTheme="minorEastAsia"/>
              </w:rPr>
              <w:t>7.</w:t>
            </w:r>
            <w:r>
              <w:rPr>
                <w:rFonts w:hint="eastAsia" w:asciiTheme="minorEastAsia" w:hAnsiTheme="minorEastAsia" w:eastAsiaTheme="minorEastAsia"/>
              </w:rPr>
              <w:t>其他不符合职业素养行为等</w:t>
            </w:r>
          </w:p>
          <w:p>
            <w:pPr>
              <w:pStyle w:val="37"/>
              <w:rPr>
                <w:rFonts w:asciiTheme="minorEastAsia" w:hAnsiTheme="minorEastAsia" w:eastAsiaTheme="minorEastAsia"/>
              </w:rPr>
            </w:pPr>
            <w:r>
              <w:rPr>
                <w:rFonts w:asciiTheme="minorEastAsia" w:hAnsiTheme="minorEastAsia" w:eastAsiaTheme="minorEastAsia"/>
              </w:rPr>
              <w:t>8.</w:t>
            </w:r>
            <w:r>
              <w:rPr>
                <w:rFonts w:hint="eastAsia" w:asciiTheme="minorEastAsia" w:hAnsiTheme="minorEastAsia" w:eastAsiaTheme="minorEastAsia"/>
              </w:rPr>
              <w:t>严重违反赛场纪律按特殊情况处理</w:t>
            </w:r>
          </w:p>
        </w:tc>
        <w:tc>
          <w:tcPr>
            <w:tcW w:w="911" w:type="dxa"/>
            <w:vAlign w:val="center"/>
          </w:tcPr>
          <w:p>
            <w:pPr>
              <w:pStyle w:val="36"/>
              <w:rPr>
                <w:rFonts w:asciiTheme="minorEastAsia" w:hAnsiTheme="minorEastAsia" w:eastAsiaTheme="minorEastAsia"/>
              </w:rPr>
            </w:pPr>
            <w:r>
              <w:rPr>
                <w:rFonts w:asciiTheme="minorEastAsia" w:hAnsiTheme="minorEastAsia" w:eastAsiaTheme="minorEastAsia"/>
              </w:rPr>
              <w:t>5</w:t>
            </w:r>
            <w:r>
              <w:rPr>
                <w:rFonts w:hint="eastAsia" w:asciiTheme="minorEastAsia" w:hAnsiTheme="minorEastAsia" w:eastAsiaTheme="minorEastAsia"/>
              </w:rPr>
              <w:t>分</w:t>
            </w:r>
          </w:p>
        </w:tc>
      </w:tr>
    </w:tbl>
    <w:p>
      <w:pPr>
        <w:spacing w:line="288" w:lineRule="auto"/>
        <w:ind w:left="480"/>
        <w:contextualSpacing/>
        <w:rPr>
          <w:rFonts w:ascii="宋体"/>
          <w:sz w:val="24"/>
          <w:szCs w:val="24"/>
        </w:rPr>
      </w:pPr>
      <w:r>
        <w:rPr>
          <w:rFonts w:hint="eastAsia"/>
        </w:rPr>
        <w:t>注：该评分细则对应附件竞赛样卷，竞赛评分中各任务的配分比例原则不变，根据不同竞赛试题，由竞赛执委会与专家组对子项目和评分点做适当修改。</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（二）成绩评定</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成绩评定过程中，选手根据裁判要求展示竞赛成果和任务完成情况。裁判严格按照评分表，依照选手实际发生的动作情况完成评定过程，确保公平公正。选手不得围观和议论其他选手评定情况。裁判不得将选手表现和评定结果泄露。工作人员根据裁判要求配合评定工作，不得擅自进入赛位影响评判过程。</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（三）比赛公布</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记分员将解密后的各参赛队伍（选手）成绩汇总成比赛成绩，经裁判长、监督组签字后，公示比赛结果。公示2小时无异议后，公布成绩并颁发证书。</w:t>
      </w:r>
    </w:p>
    <w:p>
      <w:pPr>
        <w:snapToGrid w:val="0"/>
        <w:spacing w:line="288" w:lineRule="auto"/>
        <w:ind w:firstLine="480" w:firstLineChars="200"/>
        <w:contextualSpacing/>
        <w:rPr>
          <w:rFonts w:ascii="宋体" w:hAnsi="宋体" w:cs="仿宋"/>
          <w:b/>
          <w:sz w:val="24"/>
          <w:szCs w:val="24"/>
        </w:rPr>
      </w:pPr>
      <w:r>
        <w:rPr>
          <w:rFonts w:hint="eastAsia" w:ascii="宋体" w:hAnsi="宋体" w:cs="仿宋"/>
          <w:b/>
          <w:sz w:val="24"/>
          <w:szCs w:val="24"/>
        </w:rPr>
        <w:t>六、竞赛须知</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（一）参赛队须知</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1.各校在组织参赛队时，为参赛选手购买竞赛期间的人身意外伤害保险。</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2.各校参赛队组成后，制定相关安全管理制度，落实安全责任制，确定安全责任人，签订安全承诺书，与赛项责任单位一起共同确保参赛期间参赛人员的人身财产安全。</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3.参赛队按照竞赛赛程安排，凭赛项组委会颁发的参赛证和有效身份证件、学生证参加比赛及相关活动。</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（二）指导教师须知</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1.各参赛代表队指导教师要发扬良好道德风尚，听从指挥，服从裁判，不弄虚作假。指导教师经报名、审核后确定，一经确定不得更换。如发现弄虚作假者，取消参赛资格，名次无效。</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2.在比赛阶段，不允许指导教师上场指导，禁止在未经裁判长允许的情况下使用通讯工具与选手私下沟通交流。</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3.指导老师应及时查看竞赛有关赛项的通知和内容，认真研究和掌握本赛项竞赛的规程、技术规范和赛场要求，指导选手做好赛前的一切技术准备和竞赛准备。</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（三）参赛选手须知</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1.严格遵守技能竞赛规则、技能竞赛纪律和安全操作规程，尊重裁判和赛场工作人员，自觉维护赛场秩序。</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2.佩带参赛证件及穿着统一服装进入比赛场地，穿着具备绝缘标志的电工鞋（自备），并接受裁判的检查，服装上不得有学校、身份标识。</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3.进入赛场前须将手机等通讯工具交赛场相关人员妥善保管。参赛选手请勿携带与竞赛无关的电子设备、通讯设备及其他资料与用品进入比赛场地。</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4.严格遵守赛事时间规定，准时抵达检录区，提供参赛队选手的身份证、学生证、参赛证，缺一不可，在开赛15分钟后不准入场，开赛后未经允许不得擅自离开赛场。</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5.竞赛结束时间到，应立即停止一切竞赛内容操作，不得拖延。竞赛完成后按裁判要求迅速离开赛场，不得在赛场内滞留。</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6.参赛选手须在确认竞赛内容和现场设备等无误后开始竞赛。在竞赛过程中，如有疑问、设备软件故障、身体不适等情况出现，参赛选手应举手示意。</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7.在比赛过程中，参赛选手由于操作失误导致设备不能正常工作，或造成安全事故不能进行比赛的，将被终止比赛。</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（四）工作人员须知</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1.配合裁判完成竞赛过程相关工作，严格遵守竞赛规章制度，文明礼貌，认真做好服务工作。</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2.所有工作人员必须统一佩戴由大赛组委会签发的相应证件，着装整齐，赛场除现场工作人员以外，其他人员未经允许不得进入赛场。</w:t>
      </w:r>
    </w:p>
    <w:p>
      <w:pPr>
        <w:tabs>
          <w:tab w:val="left" w:pos="7310"/>
        </w:tabs>
        <w:spacing w:line="288" w:lineRule="auto"/>
        <w:ind w:firstLine="480" w:firstLineChars="200"/>
        <w:contextualSpacing/>
        <w:rPr>
          <w:rFonts w:ascii="宋体" w:hAnsi="宋体"/>
          <w:sz w:val="24"/>
          <w:szCs w:val="24"/>
        </w:rPr>
      </w:pPr>
      <w:r>
        <w:rPr>
          <w:rFonts w:hint="eastAsia" w:ascii="宋体" w:hAnsi="宋体"/>
          <w:sz w:val="24"/>
          <w:szCs w:val="24"/>
        </w:rPr>
        <w:t>3.新闻媒体等进入赛场必须经过赛项组委会允许，并且听从现场工作人员的安排和管理，不能影响竞赛进行。</w:t>
      </w:r>
    </w:p>
    <w:p>
      <w:pPr>
        <w:snapToGrid w:val="0"/>
        <w:spacing w:line="288" w:lineRule="auto"/>
        <w:ind w:firstLine="480" w:firstLineChars="200"/>
        <w:contextualSpacing/>
        <w:rPr>
          <w:rFonts w:ascii="宋体" w:cs="仿宋"/>
          <w:b/>
          <w:sz w:val="24"/>
          <w:szCs w:val="24"/>
        </w:rPr>
      </w:pPr>
      <w:r>
        <w:rPr>
          <w:rFonts w:hint="eastAsia" w:ascii="宋体" w:hAnsi="宋体" w:cs="仿宋"/>
          <w:b/>
          <w:sz w:val="24"/>
          <w:szCs w:val="24"/>
        </w:rPr>
        <w:t>七、申诉与仲裁</w:t>
      </w:r>
    </w:p>
    <w:p>
      <w:pPr>
        <w:spacing w:line="288" w:lineRule="auto"/>
        <w:ind w:firstLine="480" w:firstLineChars="200"/>
        <w:contextualSpacing/>
        <w:rPr>
          <w:rFonts w:ascii="宋体"/>
          <w:sz w:val="24"/>
          <w:szCs w:val="24"/>
        </w:rPr>
      </w:pPr>
      <w:r>
        <w:rPr>
          <w:rFonts w:hint="eastAsia" w:ascii="宋体" w:hAnsi="宋体"/>
          <w:sz w:val="24"/>
          <w:szCs w:val="24"/>
        </w:rPr>
        <w:t>（一）申诉</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w:t>
      </w:r>
      <w:r>
        <w:rPr>
          <w:rFonts w:ascii="宋体" w:hAnsi="宋体"/>
          <w:sz w:val="24"/>
          <w:szCs w:val="24"/>
        </w:rPr>
        <w:t>1</w:t>
      </w:r>
      <w:r>
        <w:rPr>
          <w:rFonts w:hint="eastAsia" w:ascii="宋体" w:hAnsi="宋体"/>
          <w:sz w:val="24"/>
          <w:szCs w:val="24"/>
        </w:rPr>
        <w:t>）参赛队对不符合竞赛规定的软硬件设备，有失公正的评判，以及对工作人员的违规行为等，均可提出申诉；</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w:t>
      </w:r>
      <w:r>
        <w:rPr>
          <w:rFonts w:ascii="宋体" w:hAnsi="宋体"/>
          <w:sz w:val="24"/>
          <w:szCs w:val="24"/>
        </w:rPr>
        <w:t>2</w:t>
      </w:r>
      <w:r>
        <w:rPr>
          <w:rFonts w:hint="eastAsia" w:ascii="宋体" w:hAnsi="宋体"/>
          <w:sz w:val="24"/>
          <w:szCs w:val="24"/>
        </w:rPr>
        <w:t>）申诉时，应递交由参赛队领队亲笔签字同意的书面报告，报告应对申诉事件的现象、发生的时间、涉及的人员、申诉依据与理由等进行充分、实事求是的叙述。事实依据不充分、仅凭主观臆断的申诉不予受理；</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w:t>
      </w:r>
      <w:r>
        <w:rPr>
          <w:rFonts w:ascii="宋体" w:hAnsi="宋体"/>
          <w:sz w:val="24"/>
          <w:szCs w:val="24"/>
        </w:rPr>
        <w:t>3</w:t>
      </w:r>
      <w:r>
        <w:rPr>
          <w:rFonts w:hint="eastAsia" w:ascii="宋体" w:hAnsi="宋体"/>
          <w:sz w:val="24"/>
          <w:szCs w:val="24"/>
        </w:rPr>
        <w:t>）申诉时效：竞赛结束后</w:t>
      </w:r>
      <w:r>
        <w:rPr>
          <w:rFonts w:ascii="宋体" w:hAnsi="宋体"/>
          <w:sz w:val="24"/>
          <w:szCs w:val="24"/>
        </w:rPr>
        <w:t>1</w:t>
      </w:r>
      <w:r>
        <w:rPr>
          <w:rFonts w:hint="eastAsia" w:ascii="宋体" w:hAnsi="宋体"/>
          <w:sz w:val="24"/>
          <w:szCs w:val="24"/>
        </w:rPr>
        <w:t>小时内提出，超过时效将不予受理申诉；</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w:t>
      </w:r>
      <w:r>
        <w:rPr>
          <w:rFonts w:ascii="宋体" w:hAnsi="宋体"/>
          <w:sz w:val="24"/>
          <w:szCs w:val="24"/>
        </w:rPr>
        <w:t>4</w:t>
      </w:r>
      <w:r>
        <w:rPr>
          <w:rFonts w:hint="eastAsia" w:ascii="宋体" w:hAnsi="宋体"/>
          <w:sz w:val="24"/>
          <w:szCs w:val="24"/>
        </w:rPr>
        <w:t>）申诉处理：赛场专设仲裁工作组受理申诉，收到申诉报告之后，根据申诉事由进行审查，</w:t>
      </w:r>
      <w:r>
        <w:rPr>
          <w:rFonts w:ascii="宋体" w:hAnsi="宋体"/>
          <w:sz w:val="24"/>
          <w:szCs w:val="24"/>
        </w:rPr>
        <w:t>3</w:t>
      </w:r>
      <w:r>
        <w:rPr>
          <w:rFonts w:hint="eastAsia" w:ascii="宋体" w:hAnsi="宋体"/>
          <w:sz w:val="24"/>
          <w:szCs w:val="24"/>
        </w:rPr>
        <w:t>小时内书面通知申诉方，告知申诉处理结果；</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w:t>
      </w:r>
      <w:r>
        <w:rPr>
          <w:rFonts w:ascii="宋体" w:hAnsi="宋体"/>
          <w:sz w:val="24"/>
          <w:szCs w:val="24"/>
        </w:rPr>
        <w:t>5</w:t>
      </w:r>
      <w:r>
        <w:rPr>
          <w:rFonts w:hint="eastAsia" w:ascii="宋体" w:hAnsi="宋体"/>
          <w:sz w:val="24"/>
          <w:szCs w:val="24"/>
        </w:rPr>
        <w:t>）申诉人不得无故拒不接受处理结果，不允许采取过激行为刁难、攻击工作人员，否则视为放弃申诉。</w:t>
      </w:r>
    </w:p>
    <w:p>
      <w:pPr>
        <w:spacing w:line="288" w:lineRule="auto"/>
        <w:ind w:firstLine="480" w:firstLineChars="200"/>
        <w:contextualSpacing/>
        <w:rPr>
          <w:rFonts w:ascii="宋体"/>
          <w:sz w:val="24"/>
          <w:szCs w:val="24"/>
        </w:rPr>
      </w:pPr>
      <w:r>
        <w:rPr>
          <w:rFonts w:hint="eastAsia" w:ascii="宋体" w:hAnsi="宋体"/>
          <w:sz w:val="24"/>
          <w:szCs w:val="24"/>
        </w:rPr>
        <w:t>（二）仲裁</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w:t>
      </w:r>
      <w:r>
        <w:rPr>
          <w:rFonts w:ascii="宋体" w:hAnsi="宋体"/>
          <w:sz w:val="24"/>
          <w:szCs w:val="24"/>
        </w:rPr>
        <w:t>1</w:t>
      </w:r>
      <w:r>
        <w:rPr>
          <w:rFonts w:hint="eastAsia" w:ascii="宋体" w:hAnsi="宋体"/>
          <w:sz w:val="24"/>
          <w:szCs w:val="24"/>
        </w:rPr>
        <w:t>）组委会下设仲裁工作组，负责受理竞赛中出现的所有申诉并进行仲裁，以保证竞赛的顺利进行和竞赛结果公平、公正；</w:t>
      </w:r>
    </w:p>
    <w:p>
      <w:pPr>
        <w:tabs>
          <w:tab w:val="left" w:pos="7310"/>
        </w:tabs>
        <w:spacing w:line="288" w:lineRule="auto"/>
        <w:ind w:firstLine="480" w:firstLineChars="200"/>
        <w:contextualSpacing/>
        <w:rPr>
          <w:rFonts w:ascii="宋体"/>
          <w:sz w:val="24"/>
          <w:szCs w:val="24"/>
        </w:rPr>
      </w:pPr>
      <w:r>
        <w:rPr>
          <w:rFonts w:hint="eastAsia" w:ascii="宋体" w:hAnsi="宋体"/>
          <w:sz w:val="24"/>
          <w:szCs w:val="24"/>
        </w:rPr>
        <w:t>（</w:t>
      </w:r>
      <w:r>
        <w:rPr>
          <w:rFonts w:ascii="宋体" w:hAnsi="宋体"/>
          <w:sz w:val="24"/>
          <w:szCs w:val="24"/>
        </w:rPr>
        <w:t>2</w:t>
      </w:r>
      <w:r>
        <w:rPr>
          <w:rFonts w:hint="eastAsia" w:ascii="宋体" w:hAnsi="宋体"/>
          <w:sz w:val="24"/>
          <w:szCs w:val="24"/>
        </w:rPr>
        <w:t>）仲裁工作组的裁决为最终裁决，参赛队不得因申诉或对处理意见不服而停止比赛或滋事，否则按弃权处理。</w:t>
      </w:r>
    </w:p>
    <w:p>
      <w:pPr>
        <w:widowControl/>
        <w:jc w:val="left"/>
        <w:rPr>
          <w:rFonts w:ascii="宋体"/>
          <w:sz w:val="24"/>
          <w:szCs w:val="24"/>
        </w:rPr>
      </w:pPr>
      <w:r>
        <w:rPr>
          <w:rFonts w:ascii="宋体"/>
          <w:sz w:val="24"/>
          <w:szCs w:val="24"/>
        </w:rPr>
        <w:br w:type="page"/>
      </w:r>
    </w:p>
    <w:p>
      <w:pPr>
        <w:spacing w:line="560" w:lineRule="exact"/>
        <w:jc w:val="left"/>
        <w:rPr>
          <w:rFonts w:ascii="仿宋" w:hAnsi="仿宋" w:eastAsia="黑体"/>
          <w:b/>
          <w:kern w:val="0"/>
          <w:sz w:val="32"/>
          <w:szCs w:val="20"/>
        </w:rPr>
      </w:pPr>
      <w:r>
        <w:rPr>
          <w:rFonts w:hint="eastAsia" w:ascii="仿宋" w:hAnsi="仿宋" w:eastAsia="黑体"/>
          <w:b/>
          <w:kern w:val="0"/>
          <w:sz w:val="32"/>
          <w:szCs w:val="20"/>
        </w:rPr>
        <w:t>附件：</w:t>
      </w:r>
    </w:p>
    <w:p>
      <w:pPr>
        <w:spacing w:line="560" w:lineRule="exact"/>
        <w:jc w:val="center"/>
        <w:rPr>
          <w:rFonts w:ascii="仿宋" w:hAnsi="仿宋" w:eastAsia="黑体"/>
          <w:b/>
          <w:kern w:val="0"/>
          <w:sz w:val="32"/>
          <w:szCs w:val="20"/>
        </w:rPr>
      </w:pPr>
    </w:p>
    <w:p>
      <w:pPr>
        <w:spacing w:line="560" w:lineRule="exact"/>
        <w:jc w:val="center"/>
        <w:rPr>
          <w:rFonts w:ascii="仿宋" w:hAnsi="仿宋" w:eastAsia="黑体"/>
          <w:b/>
          <w:kern w:val="0"/>
          <w:sz w:val="32"/>
          <w:szCs w:val="20"/>
        </w:rPr>
      </w:pPr>
      <w:r>
        <w:rPr>
          <w:rFonts w:hint="eastAsia" w:ascii="仿宋" w:hAnsi="仿宋" w:eastAsia="黑体"/>
          <w:b/>
          <w:kern w:val="0"/>
          <w:sz w:val="32"/>
          <w:szCs w:val="20"/>
        </w:rPr>
        <w:t>2020年全国职业院校技能大赛（高职）河北选拔赛</w:t>
      </w:r>
    </w:p>
    <w:p>
      <w:pPr>
        <w:spacing w:line="560" w:lineRule="exact"/>
        <w:jc w:val="center"/>
        <w:rPr>
          <w:rFonts w:ascii="仿宋" w:hAnsi="仿宋" w:eastAsia="黑体"/>
          <w:b/>
          <w:kern w:val="0"/>
          <w:sz w:val="32"/>
          <w:szCs w:val="20"/>
        </w:rPr>
      </w:pPr>
      <w:bookmarkStart w:id="0" w:name="_Hlk511765133"/>
      <w:r>
        <w:rPr>
          <w:rFonts w:hint="eastAsia" w:ascii="仿宋" w:hAnsi="仿宋" w:eastAsia="黑体"/>
          <w:b/>
          <w:kern w:val="0"/>
          <w:sz w:val="32"/>
          <w:szCs w:val="20"/>
        </w:rPr>
        <w:t>“制造单元智能化改造与集成技术”赛项</w:t>
      </w:r>
      <w:bookmarkEnd w:id="0"/>
    </w:p>
    <w:p>
      <w:pPr>
        <w:spacing w:line="560" w:lineRule="exact"/>
        <w:jc w:val="center"/>
        <w:rPr>
          <w:rFonts w:ascii="仿宋" w:hAnsi="仿宋" w:eastAsia="黑体"/>
          <w:b/>
          <w:kern w:val="0"/>
          <w:sz w:val="32"/>
          <w:szCs w:val="20"/>
        </w:rPr>
      </w:pPr>
      <w:r>
        <w:rPr>
          <w:rFonts w:hint="eastAsia" w:ascii="仿宋" w:hAnsi="仿宋" w:eastAsia="黑体"/>
          <w:b/>
          <w:kern w:val="0"/>
          <w:sz w:val="32"/>
          <w:szCs w:val="20"/>
        </w:rPr>
        <w:t>竞赛任务书（样卷）</w:t>
      </w:r>
    </w:p>
    <w:p>
      <w:pPr>
        <w:spacing w:line="560" w:lineRule="exact"/>
        <w:rPr>
          <w:rFonts w:hint="eastAsia" w:ascii="仿宋" w:hAnsi="仿宋" w:eastAsia="黑体"/>
          <w:b/>
          <w:kern w:val="0"/>
          <w:sz w:val="32"/>
          <w:szCs w:val="20"/>
        </w:rPr>
      </w:pPr>
    </w:p>
    <w:p>
      <w:pPr>
        <w:snapToGrid w:val="0"/>
        <w:spacing w:line="560" w:lineRule="exact"/>
        <w:ind w:firstLine="560" w:firstLineChars="200"/>
        <w:rPr>
          <w:rFonts w:ascii="仿宋_GB2312" w:hAnsi="黑体" w:eastAsia="仿宋_GB2312" w:cs="黑体"/>
          <w:b/>
          <w:sz w:val="28"/>
          <w:szCs w:val="28"/>
        </w:rPr>
      </w:pPr>
      <w:r>
        <w:rPr>
          <w:rFonts w:hint="eastAsia" w:ascii="仿宋_GB2312" w:hAnsi="黑体" w:eastAsia="仿宋_GB2312" w:cs="黑体"/>
          <w:b/>
          <w:sz w:val="28"/>
          <w:szCs w:val="28"/>
        </w:rPr>
        <w:t>选手须知：</w:t>
      </w:r>
    </w:p>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t>1.</w:t>
      </w:r>
      <w:r>
        <w:rPr>
          <w:rFonts w:hint="eastAsia" w:ascii="仿宋" w:hAnsi="仿宋" w:eastAsia="仿宋_GB2312" w:cs="宋体"/>
          <w:sz w:val="28"/>
          <w:szCs w:val="21"/>
        </w:rPr>
        <w:t>任务书共</w:t>
      </w:r>
      <w:r>
        <w:rPr>
          <w:rFonts w:hint="eastAsia" w:ascii="仿宋" w:hAnsi="仿宋" w:eastAsia="仿宋_GB2312" w:cs="宋体"/>
          <w:sz w:val="28"/>
          <w:szCs w:val="21"/>
          <w:u w:val="single"/>
        </w:rPr>
        <w:t>33</w:t>
      </w:r>
      <w:r>
        <w:rPr>
          <w:rFonts w:hint="eastAsia" w:ascii="仿宋" w:hAnsi="仿宋" w:eastAsia="仿宋_GB2312" w:cs="宋体"/>
          <w:sz w:val="28"/>
          <w:szCs w:val="21"/>
        </w:rPr>
        <w:t>页，如出现任务书缺页、字迹不清等问题，请及时向裁判示意，并进行任务书的更换。</w:t>
      </w:r>
    </w:p>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t>2.</w:t>
      </w:r>
      <w:r>
        <w:rPr>
          <w:rFonts w:hint="eastAsia" w:ascii="仿宋" w:hAnsi="仿宋" w:eastAsia="仿宋_GB2312" w:cs="宋体"/>
          <w:sz w:val="28"/>
          <w:szCs w:val="21"/>
        </w:rPr>
        <w:t>参赛队应在</w:t>
      </w:r>
      <w:r>
        <w:rPr>
          <w:rFonts w:ascii="仿宋" w:hAnsi="仿宋" w:eastAsia="仿宋_GB2312" w:cs="宋体"/>
          <w:b/>
          <w:sz w:val="28"/>
          <w:szCs w:val="21"/>
        </w:rPr>
        <w:t>5</w:t>
      </w:r>
      <w:r>
        <w:rPr>
          <w:rFonts w:hint="eastAsia" w:ascii="仿宋" w:hAnsi="仿宋" w:eastAsia="仿宋_GB2312" w:cs="宋体"/>
          <w:b/>
          <w:sz w:val="28"/>
          <w:szCs w:val="21"/>
        </w:rPr>
        <w:t>小时</w:t>
      </w:r>
      <w:r>
        <w:rPr>
          <w:rFonts w:hint="eastAsia" w:ascii="仿宋" w:hAnsi="仿宋" w:eastAsia="仿宋_GB2312" w:cs="宋体"/>
          <w:sz w:val="28"/>
          <w:szCs w:val="21"/>
        </w:rPr>
        <w:t>内完成任务书规定内容。</w:t>
      </w:r>
    </w:p>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t>3.</w:t>
      </w:r>
      <w:r>
        <w:rPr>
          <w:rFonts w:hint="eastAsia" w:ascii="仿宋" w:hAnsi="仿宋" w:eastAsia="仿宋_GB2312" w:cs="宋体"/>
          <w:sz w:val="28"/>
          <w:szCs w:val="21"/>
        </w:rPr>
        <w:t>竞赛工位提供</w:t>
      </w:r>
      <w:r>
        <w:rPr>
          <w:rFonts w:ascii="仿宋" w:hAnsi="仿宋" w:eastAsia="仿宋_GB2312" w:cs="宋体"/>
          <w:sz w:val="28"/>
          <w:szCs w:val="21"/>
        </w:rPr>
        <w:t>2</w:t>
      </w:r>
      <w:r>
        <w:rPr>
          <w:rFonts w:hint="eastAsia" w:ascii="仿宋" w:hAnsi="仿宋" w:eastAsia="仿宋_GB2312" w:cs="宋体"/>
          <w:sz w:val="28"/>
          <w:szCs w:val="21"/>
        </w:rPr>
        <w:t>台电脑，参考资料存储在“</w:t>
      </w:r>
      <w:r>
        <w:rPr>
          <w:rFonts w:ascii="仿宋" w:hAnsi="仿宋" w:eastAsia="仿宋_GB2312" w:cs="宋体"/>
          <w:b/>
          <w:sz w:val="28"/>
          <w:szCs w:val="21"/>
        </w:rPr>
        <w:t>D:\</w:t>
      </w:r>
      <w:r>
        <w:rPr>
          <w:rFonts w:hint="eastAsia" w:ascii="仿宋" w:hAnsi="仿宋" w:eastAsia="仿宋_GB2312" w:cs="宋体"/>
          <w:b/>
          <w:sz w:val="28"/>
          <w:szCs w:val="21"/>
        </w:rPr>
        <w:t>参考资料</w:t>
      </w:r>
      <w:r>
        <w:rPr>
          <w:rFonts w:hint="eastAsia" w:ascii="仿宋" w:hAnsi="仿宋" w:eastAsia="仿宋_GB2312" w:cs="宋体"/>
          <w:sz w:val="28"/>
          <w:szCs w:val="21"/>
        </w:rPr>
        <w:t>”文件夹中。选手在竞赛过程中利用电脑创建的程序文件必须存储到“</w:t>
      </w:r>
      <w:r>
        <w:rPr>
          <w:rFonts w:ascii="仿宋" w:hAnsi="仿宋" w:eastAsia="仿宋_GB2312" w:cs="宋体"/>
          <w:b/>
          <w:sz w:val="28"/>
          <w:szCs w:val="21"/>
        </w:rPr>
        <w:t>D:\</w:t>
      </w:r>
      <w:r>
        <w:rPr>
          <w:rFonts w:hint="eastAsia" w:ascii="仿宋" w:hAnsi="仿宋" w:eastAsia="仿宋_GB2312" w:cs="宋体"/>
          <w:b/>
          <w:sz w:val="28"/>
          <w:szCs w:val="21"/>
        </w:rPr>
        <w:t>技能竞赛</w:t>
      </w:r>
      <w:r>
        <w:rPr>
          <w:rFonts w:hint="eastAsia" w:ascii="仿宋" w:hAnsi="仿宋" w:eastAsia="仿宋_GB2312" w:cs="宋体"/>
          <w:sz w:val="28"/>
          <w:szCs w:val="21"/>
        </w:rPr>
        <w:t>”文件夹中，未存储到指定位置的程序文件不作为竞赛成果予以评分。请及时对程序文件存储，建议每</w:t>
      </w:r>
      <w:r>
        <w:rPr>
          <w:rFonts w:ascii="仿宋" w:hAnsi="仿宋" w:eastAsia="仿宋_GB2312" w:cs="宋体"/>
          <w:sz w:val="28"/>
          <w:szCs w:val="21"/>
        </w:rPr>
        <w:t>10-15</w:t>
      </w:r>
      <w:r>
        <w:rPr>
          <w:rFonts w:hint="eastAsia" w:ascii="仿宋" w:hAnsi="仿宋" w:eastAsia="仿宋_GB2312" w:cs="宋体"/>
          <w:sz w:val="28"/>
          <w:szCs w:val="21"/>
        </w:rPr>
        <w:t>分钟</w:t>
      </w:r>
      <w:r>
        <w:rPr>
          <w:rFonts w:ascii="仿宋" w:hAnsi="仿宋" w:eastAsia="仿宋_GB2312" w:cs="宋体"/>
          <w:sz w:val="28"/>
          <w:szCs w:val="21"/>
        </w:rPr>
        <w:t>1</w:t>
      </w:r>
      <w:r>
        <w:rPr>
          <w:rFonts w:hint="eastAsia" w:ascii="仿宋" w:hAnsi="仿宋" w:eastAsia="仿宋_GB2312" w:cs="宋体"/>
          <w:sz w:val="28"/>
          <w:szCs w:val="21"/>
        </w:rPr>
        <w:t>次，因不可抗力因素导致电脑重新启动出现文件资料丢失情况，酌情补时不超过</w:t>
      </w:r>
      <w:r>
        <w:rPr>
          <w:rFonts w:ascii="仿宋" w:hAnsi="仿宋" w:eastAsia="仿宋_GB2312" w:cs="宋体"/>
          <w:sz w:val="28"/>
          <w:szCs w:val="21"/>
        </w:rPr>
        <w:t>15</w:t>
      </w:r>
      <w:r>
        <w:rPr>
          <w:rFonts w:hint="eastAsia" w:ascii="仿宋" w:hAnsi="仿宋" w:eastAsia="仿宋_GB2312" w:cs="宋体"/>
          <w:sz w:val="28"/>
          <w:szCs w:val="21"/>
        </w:rPr>
        <w:t>分钟。</w:t>
      </w:r>
    </w:p>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t>4.</w:t>
      </w:r>
      <w:r>
        <w:rPr>
          <w:rFonts w:hint="eastAsia" w:ascii="仿宋" w:hAnsi="仿宋" w:eastAsia="仿宋_GB2312" w:cs="宋体"/>
          <w:sz w:val="28"/>
          <w:szCs w:val="21"/>
        </w:rPr>
        <w:t>任务书中只得填写竞赛相关信息，不得出现学校、姓名等与身份有关的信息或与竞赛过程无关的内容，否则成绩无效。</w:t>
      </w:r>
    </w:p>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t>5.</w:t>
      </w:r>
      <w:r>
        <w:rPr>
          <w:rFonts w:hint="eastAsia" w:ascii="仿宋" w:hAnsi="仿宋" w:eastAsia="仿宋_GB2312" w:cs="宋体"/>
          <w:sz w:val="28"/>
          <w:szCs w:val="21"/>
        </w:rPr>
        <w:t>竞赛过程中严禁更改竞赛平台各单元内部电路、气路接线。由于参赛选手人为原因导致竞赛设备损坏，以致无法正常继续比赛，将取消参赛队竞赛资格。</w:t>
      </w:r>
    </w:p>
    <w:p>
      <w:pPr>
        <w:spacing w:line="560" w:lineRule="exact"/>
        <w:ind w:firstLine="560" w:firstLineChars="200"/>
        <w:jc w:val="left"/>
        <w:rPr>
          <w:rFonts w:ascii="仿宋" w:hAnsi="仿宋" w:eastAsia="仿宋_GB2312" w:cs="宋体"/>
          <w:sz w:val="28"/>
          <w:szCs w:val="21"/>
        </w:rPr>
      </w:pP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竞赛场次：第</w:t>
      </w:r>
      <w:r>
        <w:rPr>
          <w:rFonts w:ascii="仿宋" w:hAnsi="仿宋" w:eastAsia="仿宋_GB2312" w:cs="宋体"/>
          <w:sz w:val="28"/>
          <w:szCs w:val="21"/>
          <w:u w:val="single"/>
        </w:rPr>
        <w:t xml:space="preserve">    </w:t>
      </w:r>
      <w:r>
        <w:rPr>
          <w:rFonts w:hint="eastAsia" w:ascii="仿宋" w:hAnsi="仿宋" w:eastAsia="仿宋_GB2312" w:cs="宋体"/>
          <w:sz w:val="28"/>
          <w:szCs w:val="21"/>
        </w:rPr>
        <w:t>场</w:t>
      </w:r>
      <w:r>
        <w:rPr>
          <w:rFonts w:ascii="仿宋" w:hAnsi="仿宋" w:eastAsia="仿宋_GB2312" w:cs="宋体"/>
          <w:sz w:val="28"/>
          <w:szCs w:val="21"/>
        </w:rPr>
        <w:t xml:space="preserve">                  </w:t>
      </w:r>
      <w:r>
        <w:rPr>
          <w:rFonts w:hint="eastAsia" w:ascii="仿宋" w:hAnsi="仿宋" w:eastAsia="仿宋_GB2312" w:cs="宋体"/>
          <w:sz w:val="28"/>
          <w:szCs w:val="21"/>
        </w:rPr>
        <w:t>赛位号：第</w:t>
      </w:r>
      <w:r>
        <w:rPr>
          <w:rFonts w:ascii="仿宋" w:hAnsi="仿宋" w:eastAsia="仿宋_GB2312" w:cs="宋体"/>
          <w:sz w:val="28"/>
          <w:szCs w:val="21"/>
          <w:u w:val="single"/>
        </w:rPr>
        <w:t xml:space="preserve">    </w:t>
      </w:r>
      <w:r>
        <w:rPr>
          <w:rFonts w:hint="eastAsia" w:ascii="仿宋" w:hAnsi="仿宋" w:eastAsia="仿宋_GB2312" w:cs="宋体"/>
          <w:sz w:val="28"/>
          <w:szCs w:val="21"/>
        </w:rPr>
        <w:t>号</w:t>
      </w:r>
    </w:p>
    <w:p>
      <w:pPr>
        <w:spacing w:line="560" w:lineRule="exact"/>
        <w:ind w:firstLine="560" w:firstLineChars="200"/>
        <w:jc w:val="left"/>
        <w:rPr>
          <w:rFonts w:ascii="仿宋" w:hAnsi="仿宋" w:eastAsia="仿宋_GB2312" w:cs="宋体"/>
          <w:sz w:val="28"/>
          <w:szCs w:val="21"/>
        </w:rPr>
        <w:sectPr>
          <w:headerReference r:id="rId4" w:type="first"/>
          <w:footerReference r:id="rId6" w:type="first"/>
          <w:footerReference r:id="rId5" w:type="default"/>
          <w:headerReference r:id="rId3" w:type="even"/>
          <w:pgSz w:w="11906" w:h="16838"/>
          <w:pgMar w:top="1134" w:right="1134" w:bottom="1134" w:left="1418" w:header="397" w:footer="680" w:gutter="0"/>
          <w:pgNumType w:start="1"/>
          <w:cols w:space="720" w:num="1"/>
          <w:docGrid w:type="linesAndChars" w:linePitch="381" w:charSpace="0"/>
        </w:sectPr>
      </w:pPr>
    </w:p>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制造单元改造需求及产品生产要求</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1.</w:t>
      </w:r>
      <w:r>
        <w:rPr>
          <w:rFonts w:hint="eastAsia" w:ascii="仿宋" w:hAnsi="仿宋" w:eastAsia="仿宋_GB2312" w:cs="宋体"/>
          <w:sz w:val="28"/>
          <w:szCs w:val="21"/>
        </w:rPr>
        <w:t>背景介绍</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公司需要对现有轮毂零件的生产单元升级改造，以满足不同类型轮毂零件的共线生产。以智能制造技术为基础，在现有设备单元的基础上，结合工业机器人、视觉等设备，实现柔性化生产；选用工业以太网通讯方式完成设备端的控制和信息采集，增加</w:t>
      </w:r>
      <w:r>
        <w:rPr>
          <w:rFonts w:ascii="仿宋" w:hAnsi="仿宋" w:eastAsia="仿宋_GB2312" w:cs="宋体"/>
          <w:sz w:val="28"/>
          <w:szCs w:val="21"/>
        </w:rPr>
        <w:t>MES</w:t>
      </w:r>
      <w:r>
        <w:rPr>
          <w:rFonts w:hint="eastAsia" w:ascii="仿宋" w:hAnsi="仿宋" w:eastAsia="仿宋_GB2312" w:cs="宋体"/>
          <w:sz w:val="28"/>
          <w:szCs w:val="21"/>
        </w:rPr>
        <w:t>系统完成对生产全流程的监控和优化，实现智能化生产；利用互联网将产品制造过程数据和设备运行状态数据上传到云服务器中存储，在确保身份信息验证正确的前提下可通过移动终端实现对云服务器中数据的实时访问。请根据具体任务要求和硬件条件，完成智能制造单元改造的集成设计、安装部署、编程调试，并实现试生产验证。</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2.</w:t>
      </w:r>
      <w:r>
        <w:rPr>
          <w:rFonts w:hint="eastAsia" w:ascii="仿宋" w:hAnsi="仿宋" w:eastAsia="仿宋_GB2312" w:cs="宋体"/>
          <w:sz w:val="28"/>
          <w:szCs w:val="21"/>
        </w:rPr>
        <w:t>生产对象</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生产对象为汽车行业的轮毂零件，是完成粗加工后的半成品铸造铝制零件。轮毂零件在其正面、背面分别布置有定位基准、电子标签区域、视觉检测区域、数控加工区域和打磨加工区域，如图</w:t>
      </w:r>
      <w:r>
        <w:rPr>
          <w:rFonts w:ascii="仿宋" w:hAnsi="仿宋" w:eastAsia="仿宋_GB2312" w:cs="宋体"/>
          <w:sz w:val="28"/>
          <w:szCs w:val="21"/>
        </w:rPr>
        <w:t>1</w:t>
      </w:r>
      <w:r>
        <w:rPr>
          <w:rFonts w:hint="eastAsia" w:ascii="仿宋" w:hAnsi="仿宋" w:eastAsia="仿宋_GB2312" w:cs="宋体"/>
          <w:sz w:val="28"/>
          <w:szCs w:val="21"/>
        </w:rPr>
        <w:t>和图</w:t>
      </w:r>
      <w:r>
        <w:rPr>
          <w:rFonts w:ascii="仿宋" w:hAnsi="仿宋" w:eastAsia="仿宋_GB2312" w:cs="宋体"/>
          <w:sz w:val="28"/>
          <w:szCs w:val="21"/>
        </w:rPr>
        <w:t>2</w:t>
      </w:r>
      <w:r>
        <w:rPr>
          <w:rFonts w:hint="eastAsia" w:ascii="仿宋" w:hAnsi="仿宋" w:eastAsia="仿宋_GB2312" w:cs="宋体"/>
          <w:sz w:val="28"/>
          <w:szCs w:val="21"/>
        </w:rPr>
        <w:t>所示。</w:t>
      </w:r>
    </w:p>
    <w:p>
      <w:pPr>
        <w:keepNext/>
        <w:jc w:val="center"/>
        <w:rPr>
          <w:rFonts w:ascii="仿宋" w:hAnsi="仿宋" w:eastAsia="仿宋_GB2312"/>
          <w:kern w:val="0"/>
          <w:sz w:val="28"/>
          <w:szCs w:val="20"/>
        </w:rPr>
      </w:pPr>
      <w:r>
        <w:rPr>
          <w:rFonts w:ascii="仿宋" w:hAnsi="仿宋" w:eastAsia="仿宋_GB2312"/>
          <w:kern w:val="0"/>
          <w:sz w:val="28"/>
          <w:szCs w:val="20"/>
        </w:rPr>
        <w:pict>
          <v:shape id="_x0000_i1025" o:spt="75" type="#_x0000_t75" style="height:225pt;width:325.2pt;" filled="f" o:preferrelative="t" stroked="f" coordsize="21600,21600">
            <v:path/>
            <v:fill on="f" focussize="0,0"/>
            <v:stroke on="f" joinstyle="miter"/>
            <v:imagedata r:id="rId9" o:title=""/>
            <o:lock v:ext="edit" aspectratio="t"/>
            <w10:wrap type="none"/>
            <w10:anchorlock/>
          </v:shape>
        </w:pict>
      </w:r>
    </w:p>
    <w:p>
      <w:pPr>
        <w:jc w:val="center"/>
        <w:rPr>
          <w:rFonts w:ascii="仿宋" w:hAnsi="仿宋" w:eastAsia="仿宋_GB2312"/>
          <w:kern w:val="0"/>
          <w:sz w:val="24"/>
          <w:szCs w:val="20"/>
        </w:rPr>
      </w:pPr>
      <w:r>
        <w:rPr>
          <w:rFonts w:hint="eastAsia" w:ascii="仿宋" w:hAnsi="仿宋" w:eastAsia="仿宋_GB2312"/>
          <w:kern w:val="0"/>
          <w:sz w:val="24"/>
          <w:szCs w:val="20"/>
        </w:rPr>
        <w:t>图</w:t>
      </w:r>
      <w:r>
        <w:rPr>
          <w:rFonts w:ascii="仿宋" w:hAnsi="仿宋" w:eastAsia="仿宋_GB2312"/>
          <w:kern w:val="0"/>
          <w:sz w:val="24"/>
          <w:szCs w:val="20"/>
        </w:rPr>
        <w:t xml:space="preserve">1 </w:t>
      </w:r>
      <w:r>
        <w:rPr>
          <w:rFonts w:hint="eastAsia" w:ascii="仿宋" w:hAnsi="仿宋" w:eastAsia="仿宋_GB2312"/>
          <w:kern w:val="0"/>
          <w:sz w:val="24"/>
          <w:szCs w:val="20"/>
        </w:rPr>
        <w:t>轮毂零件正面特征分布</w:t>
      </w:r>
    </w:p>
    <w:p>
      <w:pPr>
        <w:keepNext/>
        <w:jc w:val="center"/>
        <w:rPr>
          <w:rFonts w:ascii="仿宋" w:hAnsi="仿宋" w:eastAsia="仿宋_GB2312"/>
          <w:kern w:val="0"/>
          <w:sz w:val="28"/>
          <w:szCs w:val="20"/>
        </w:rPr>
      </w:pPr>
      <w:r>
        <w:rPr>
          <w:rFonts w:ascii="仿宋" w:hAnsi="仿宋" w:eastAsia="仿宋_GB2312"/>
          <w:kern w:val="0"/>
          <w:sz w:val="28"/>
          <w:szCs w:val="20"/>
        </w:rPr>
        <w:pict>
          <v:shape id="_x0000_i1026" o:spt="75" type="#_x0000_t75" style="height:206.4pt;width:299.4pt;" filled="f" o:preferrelative="t" stroked="f" coordsize="21600,21600">
            <v:path/>
            <v:fill on="f" focussize="0,0"/>
            <v:stroke on="f" joinstyle="miter"/>
            <v:imagedata r:id="rId10" o:title=""/>
            <o:lock v:ext="edit" aspectratio="t"/>
            <w10:wrap type="none"/>
            <w10:anchorlock/>
          </v:shape>
        </w:pict>
      </w:r>
    </w:p>
    <w:p>
      <w:pPr>
        <w:jc w:val="center"/>
        <w:rPr>
          <w:rFonts w:ascii="仿宋" w:hAnsi="仿宋" w:eastAsia="仿宋_GB2312"/>
          <w:kern w:val="0"/>
          <w:sz w:val="24"/>
          <w:szCs w:val="20"/>
        </w:rPr>
      </w:pPr>
      <w:bookmarkStart w:id="1" w:name="_Ref514261531"/>
      <w:r>
        <w:rPr>
          <w:rFonts w:hint="eastAsia" w:ascii="仿宋" w:hAnsi="仿宋" w:eastAsia="仿宋_GB2312"/>
          <w:kern w:val="0"/>
          <w:sz w:val="24"/>
          <w:szCs w:val="20"/>
        </w:rPr>
        <w:t>图</w:t>
      </w:r>
      <w:bookmarkEnd w:id="1"/>
      <w:r>
        <w:rPr>
          <w:rFonts w:ascii="仿宋" w:hAnsi="仿宋" w:eastAsia="仿宋_GB2312"/>
          <w:kern w:val="0"/>
          <w:sz w:val="24"/>
          <w:szCs w:val="20"/>
        </w:rPr>
        <w:t xml:space="preserve">2 </w:t>
      </w:r>
      <w:r>
        <w:rPr>
          <w:rFonts w:hint="eastAsia" w:ascii="仿宋" w:hAnsi="仿宋" w:eastAsia="仿宋_GB2312"/>
          <w:kern w:val="0"/>
          <w:sz w:val="24"/>
          <w:szCs w:val="20"/>
        </w:rPr>
        <w:t>轮毂零件背面特征分布</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（1）轮毂零件在应用平台各单元中通过外圆轮廓和定位基准实现准确定位，正面背面定位方式相同。</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（2）电子标签区域 1 是产品系列编码，贴有二维码标签，二维码内容是产品系列数字编码（例如：0001 表示产品属于 1 系列；0002 表示产品属于 2 系列），可通过检测单元的智能视觉对其扫描进行识别。</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（3）电子标签区域 2 是加工工序编码，贴有二维码标签，二维码内容是定制加工工序代码或标准加工工序代码（例如：B2C2C3；C1C3B1，且工序不可调整），可通过检测单元的智能视觉对其扫描进行识别。</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（4）视觉检测区域，通过贴有不同颜色（红/绿）的贴纸代表产品的加工状态，可通过检测单元的智能视觉对颜色进行识别。具体的视觉检测功能描述如下：</w:t>
      </w:r>
    </w:p>
    <w:p>
      <w:pPr>
        <w:pStyle w:val="34"/>
        <w:numPr>
          <w:ilvl w:val="0"/>
          <w:numId w:val="2"/>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视觉检测区域</w:t>
      </w:r>
      <w:r>
        <w:rPr>
          <w:rFonts w:ascii="仿宋" w:hAnsi="仿宋" w:eastAsia="仿宋_GB2312" w:cs="宋体"/>
          <w:sz w:val="28"/>
          <w:szCs w:val="21"/>
        </w:rPr>
        <w:t>1</w:t>
      </w:r>
      <w:r>
        <w:rPr>
          <w:rFonts w:hint="eastAsia" w:ascii="仿宋" w:hAnsi="仿宋" w:eastAsia="仿宋_GB2312" w:cs="宋体"/>
          <w:sz w:val="28"/>
          <w:szCs w:val="21"/>
        </w:rPr>
        <w:t>用于识别异形件或标准件：检测识别结果为红色则是异形件，输出结果为NG，检测识别结果为绿色则是标准件，输出结果为OK；</w:t>
      </w:r>
    </w:p>
    <w:p>
      <w:pPr>
        <w:pStyle w:val="34"/>
        <w:numPr>
          <w:ilvl w:val="0"/>
          <w:numId w:val="2"/>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视觉检测区域</w:t>
      </w:r>
      <w:r>
        <w:rPr>
          <w:rFonts w:ascii="仿宋" w:hAnsi="仿宋" w:eastAsia="仿宋_GB2312" w:cs="宋体"/>
          <w:sz w:val="28"/>
          <w:szCs w:val="21"/>
        </w:rPr>
        <w:t>2</w:t>
      </w:r>
      <w:r>
        <w:rPr>
          <w:rFonts w:hint="eastAsia" w:ascii="仿宋" w:hAnsi="仿宋" w:eastAsia="仿宋_GB2312" w:cs="宋体"/>
          <w:sz w:val="28"/>
          <w:szCs w:val="21"/>
        </w:rPr>
        <w:t>用于识别零件是否存在瑕疵：检测识别结果为红色则存在瑕疵，输出结果为NG，检测识别结果为绿色则不存在瑕疵，输出结果为OK；</w:t>
      </w:r>
    </w:p>
    <w:p>
      <w:pPr>
        <w:pStyle w:val="34"/>
        <w:numPr>
          <w:ilvl w:val="0"/>
          <w:numId w:val="2"/>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视觉检测区域</w:t>
      </w:r>
      <w:r>
        <w:rPr>
          <w:rFonts w:ascii="仿宋" w:hAnsi="仿宋" w:eastAsia="仿宋_GB2312" w:cs="宋体"/>
          <w:sz w:val="28"/>
          <w:szCs w:val="21"/>
        </w:rPr>
        <w:t>3</w:t>
      </w:r>
      <w:r>
        <w:rPr>
          <w:rFonts w:hint="eastAsia" w:ascii="仿宋" w:hAnsi="仿宋" w:eastAsia="仿宋_GB2312" w:cs="宋体"/>
          <w:sz w:val="28"/>
          <w:szCs w:val="21"/>
        </w:rPr>
        <w:t>用于识别标准加工或定制加工：检测识别结果为红色则是定制加工，输出结果为NG，检测识别结果为绿色则是标准加工，输出结果为OK；</w:t>
      </w:r>
    </w:p>
    <w:p>
      <w:pPr>
        <w:pStyle w:val="34"/>
        <w:numPr>
          <w:ilvl w:val="0"/>
          <w:numId w:val="2"/>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视觉检测区域</w:t>
      </w:r>
      <w:r>
        <w:rPr>
          <w:rFonts w:ascii="仿宋" w:hAnsi="仿宋" w:eastAsia="仿宋_GB2312" w:cs="宋体"/>
          <w:sz w:val="28"/>
          <w:szCs w:val="21"/>
        </w:rPr>
        <w:t>4</w:t>
      </w:r>
      <w:r>
        <w:rPr>
          <w:rFonts w:hint="eastAsia" w:ascii="仿宋" w:hAnsi="仿宋" w:eastAsia="仿宋_GB2312" w:cs="宋体"/>
          <w:sz w:val="28"/>
          <w:szCs w:val="21"/>
        </w:rPr>
        <w:t>用于识别精加工件或粗加工件：检测识别结果为红色则是精加工件，输出结果为NG，检测识别结果为绿色则是粗加工件，输出结果为OK。</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（5）数控加工区域为可替换的塑料圆片，利用加工单元在其上进行雕刻加工，具体加工内容由工序决定。</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注意：仅轮毂正面中间位置可进行数控加工。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（6）打磨加工区域为轮毂表面指定区域，利用打磨工具对其进行打磨加工。</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3.</w:t>
      </w:r>
      <w:r>
        <w:rPr>
          <w:rFonts w:hint="eastAsia" w:ascii="仿宋" w:hAnsi="仿宋" w:eastAsia="仿宋_GB2312" w:cs="宋体"/>
          <w:sz w:val="28"/>
          <w:szCs w:val="21"/>
        </w:rPr>
        <w:t>产品生产工艺流程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目前公司需要对客户定制需求类的轮毂生产进行智能改造和响应。无需定制的加工工序为标准加工工序，需要定制的加工工序为定制加工工序；标准加工工序和定制加工工序均由电子标签区域 2 的加工工序编码二维码指定，需要由检测单元的智能视觉对其扫描进行识别，并最终通过硬件接线、程序编写、画面组态、数据通信等任务，在上位机管理系统中实现相应的标准加工工序或定制加工工序，并能够实现轮毂零件生产的全过程自动化执行。</w:t>
      </w:r>
    </w:p>
    <w:p>
      <w:pPr>
        <w:spacing w:line="560" w:lineRule="exact"/>
        <w:ind w:firstLine="562" w:firstLineChars="200"/>
        <w:jc w:val="left"/>
        <w:rPr>
          <w:rFonts w:ascii="仿宋" w:hAnsi="仿宋" w:eastAsia="仿宋_GB2312" w:cs="宋体"/>
          <w:sz w:val="28"/>
          <w:szCs w:val="21"/>
        </w:rPr>
      </w:pPr>
      <w:r>
        <w:rPr>
          <w:rFonts w:hint="eastAsia" w:ascii="仿宋" w:hAnsi="仿宋" w:eastAsia="仿宋_GB2312" w:cs="宋体"/>
          <w:b/>
          <w:bCs/>
          <w:sz w:val="28"/>
          <w:szCs w:val="21"/>
        </w:rPr>
        <w:t>请注意：</w:t>
      </w:r>
      <w:r>
        <w:rPr>
          <w:rFonts w:hint="eastAsia" w:ascii="仿宋" w:hAnsi="仿宋" w:eastAsia="仿宋_GB2312" w:cs="宋体"/>
          <w:sz w:val="28"/>
          <w:szCs w:val="21"/>
        </w:rPr>
        <w:t>仓储单元是上下两层，每层3个仓位，共计6个仓位；最初存储轮毂零件数量为6个，</w:t>
      </w:r>
      <w:r>
        <w:rPr>
          <w:rFonts w:hint="eastAsia" w:ascii="仿宋" w:hAnsi="仿宋" w:eastAsia="仿宋_GB2312" w:cs="宋体"/>
          <w:b/>
          <w:bCs/>
          <w:sz w:val="28"/>
          <w:szCs w:val="21"/>
        </w:rPr>
        <w:t>随机摆放</w:t>
      </w:r>
      <w:r>
        <w:rPr>
          <w:rFonts w:hint="eastAsia" w:ascii="仿宋" w:hAnsi="仿宋" w:eastAsia="仿宋_GB2312" w:cs="宋体"/>
          <w:sz w:val="28"/>
          <w:szCs w:val="21"/>
        </w:rPr>
        <w:t>在不同的仓位托盘上，每个轮毂零件的特征信息已知（如下表 1：轮毂零件特征值初始信息表）；其中，轮毂序号无实际意义。</w:t>
      </w:r>
    </w:p>
    <w:p>
      <w:pPr>
        <w:spacing w:line="560" w:lineRule="exact"/>
        <w:ind w:firstLine="562" w:firstLineChars="200"/>
        <w:jc w:val="left"/>
        <w:rPr>
          <w:rFonts w:ascii="仿宋" w:hAnsi="仿宋" w:eastAsia="仿宋_GB2312" w:cs="宋体"/>
          <w:sz w:val="28"/>
          <w:szCs w:val="21"/>
        </w:rPr>
      </w:pPr>
      <w:r>
        <w:rPr>
          <w:rFonts w:hint="eastAsia" w:ascii="仿宋" w:hAnsi="仿宋" w:eastAsia="仿宋_GB2312" w:cs="宋体"/>
          <w:b/>
          <w:bCs/>
          <w:sz w:val="28"/>
          <w:szCs w:val="21"/>
        </w:rPr>
        <w:t>请注意：</w:t>
      </w:r>
      <w:r>
        <w:rPr>
          <w:rFonts w:hint="eastAsia" w:ascii="仿宋" w:hAnsi="仿宋" w:eastAsia="仿宋_GB2312" w:cs="宋体"/>
          <w:sz w:val="28"/>
          <w:szCs w:val="21"/>
        </w:rPr>
        <w:t>请选手拿到赛卷后，首先检查轮毂数量、颜色贴纸数量、编号二维码贴纸数量和加工工序编码二维码贴纸数量，并按照如下特征值初始信息表，将相应的贴纸粘贴到轮毂零件的相应位置，并按指定朝向</w:t>
      </w:r>
      <w:r>
        <w:rPr>
          <w:rFonts w:hint="eastAsia" w:ascii="仿宋" w:hAnsi="仿宋" w:eastAsia="仿宋_GB2312" w:cs="宋体"/>
          <w:b/>
          <w:bCs/>
          <w:sz w:val="28"/>
          <w:szCs w:val="21"/>
        </w:rPr>
        <w:t>随机放入任意仓位</w:t>
      </w:r>
      <w:r>
        <w:rPr>
          <w:rFonts w:hint="eastAsia" w:ascii="仿宋" w:hAnsi="仿宋" w:eastAsia="仿宋_GB2312" w:cs="宋体"/>
          <w:sz w:val="28"/>
          <w:szCs w:val="21"/>
        </w:rPr>
        <w:t>中。贴纸内容或数量有误需及时报告裁判进行更换。</w:t>
      </w:r>
      <w:r>
        <w:rPr>
          <w:rFonts w:hint="eastAsia" w:ascii="仿宋" w:hAnsi="仿宋" w:eastAsia="仿宋_GB2312" w:cs="宋体"/>
          <w:b/>
          <w:bCs/>
          <w:sz w:val="28"/>
          <w:szCs w:val="21"/>
        </w:rPr>
        <w:t>贴纸粘贴错误所引起的比赛结果与成绩评定由选手自己负责。</w:t>
      </w:r>
    </w:p>
    <w:p>
      <w:pPr>
        <w:spacing w:line="560" w:lineRule="exact"/>
        <w:ind w:firstLine="560" w:firstLineChars="200"/>
        <w:jc w:val="center"/>
        <w:rPr>
          <w:rFonts w:ascii="仿宋" w:hAnsi="仿宋" w:eastAsia="仿宋_GB2312" w:cs="宋体"/>
          <w:sz w:val="28"/>
          <w:szCs w:val="21"/>
        </w:rPr>
      </w:pPr>
      <w:r>
        <w:rPr>
          <w:rFonts w:hint="eastAsia" w:ascii="仿宋" w:hAnsi="仿宋" w:eastAsia="仿宋_GB2312" w:cs="宋体"/>
          <w:sz w:val="28"/>
          <w:szCs w:val="21"/>
        </w:rPr>
        <w:t>表 1 轮毂零件特征值初始信息表</w:t>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60"/>
        <w:gridCol w:w="860"/>
        <w:gridCol w:w="861"/>
        <w:gridCol w:w="861"/>
        <w:gridCol w:w="861"/>
        <w:gridCol w:w="1056"/>
        <w:gridCol w:w="861"/>
        <w:gridCol w:w="861"/>
        <w:gridCol w:w="861"/>
        <w:gridCol w:w="8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赛卷</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编号</w:t>
            </w:r>
          </w:p>
        </w:tc>
        <w:tc>
          <w:tcPr>
            <w:tcW w:w="86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轮毂</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序号</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初</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放</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置</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仓</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位</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初</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放</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置</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方</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向</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正面电子标签 1二维码初始值（产品系列编号）</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背面电子标签 2二维码初始值（标准/定制加工工序编码）</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视觉</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检测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区域</w:t>
            </w:r>
          </w:p>
          <w:p>
            <w:pPr>
              <w:jc w:val="center"/>
              <w:rPr>
                <w:rFonts w:cs="宋体" w:asciiTheme="minorEastAsia" w:hAnsiTheme="minorEastAsia" w:eastAsiaTheme="minorEastAsia"/>
                <w:kern w:val="0"/>
                <w:sz w:val="21"/>
                <w:szCs w:val="21"/>
              </w:rPr>
            </w:pPr>
            <w:r>
              <w:rPr>
                <w:rFonts w:cs="宋体" w:asciiTheme="minorEastAsia" w:hAnsiTheme="minorEastAsia" w:eastAsiaTheme="minorEastAsia"/>
                <w:kern w:val="0"/>
                <w:sz w:val="21"/>
                <w:szCs w:val="21"/>
              </w:rPr>
              <w:t>1</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视觉</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检测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区域</w:t>
            </w:r>
          </w:p>
          <w:p>
            <w:pPr>
              <w:jc w:val="center"/>
              <w:rPr>
                <w:rFonts w:cs="宋体" w:asciiTheme="minorEastAsia" w:hAnsiTheme="minorEastAsia" w:eastAsiaTheme="minorEastAsia"/>
                <w:kern w:val="0"/>
                <w:sz w:val="21"/>
                <w:szCs w:val="21"/>
              </w:rPr>
            </w:pPr>
            <w:r>
              <w:rPr>
                <w:rFonts w:cs="宋体" w:asciiTheme="minorEastAsia" w:hAnsiTheme="minorEastAsia" w:eastAsiaTheme="minorEastAsia"/>
                <w:kern w:val="0"/>
                <w:sz w:val="21"/>
                <w:szCs w:val="21"/>
              </w:rPr>
              <w:t>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视觉</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检测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区域</w:t>
            </w:r>
          </w:p>
          <w:p>
            <w:pPr>
              <w:jc w:val="center"/>
              <w:rPr>
                <w:rFonts w:cs="宋体" w:asciiTheme="minorEastAsia" w:hAnsiTheme="minorEastAsia" w:eastAsiaTheme="minorEastAsia"/>
                <w:kern w:val="0"/>
                <w:sz w:val="21"/>
                <w:szCs w:val="21"/>
              </w:rPr>
            </w:pPr>
            <w:r>
              <w:rPr>
                <w:rFonts w:cs="宋体" w:asciiTheme="minorEastAsia" w:hAnsiTheme="minorEastAsia" w:eastAsiaTheme="minorEastAsia"/>
                <w:kern w:val="0"/>
                <w:sz w:val="21"/>
                <w:szCs w:val="21"/>
              </w:rPr>
              <w:t>3</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视觉</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检测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区域</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0"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赛卷3</w:t>
            </w:r>
          </w:p>
        </w:tc>
        <w:tc>
          <w:tcPr>
            <w:tcW w:w="86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轮毂</w:t>
            </w:r>
          </w:p>
          <w:p>
            <w:pPr>
              <w:jc w:val="center"/>
              <w:rPr>
                <w:rFonts w:cs="宋体" w:asciiTheme="minorEastAsia" w:hAnsiTheme="minorEastAsia" w:eastAsiaTheme="minorEastAsia"/>
                <w:kern w:val="0"/>
                <w:sz w:val="21"/>
                <w:szCs w:val="21"/>
              </w:rPr>
            </w:pPr>
            <w:r>
              <w:rPr>
                <w:rFonts w:cs="宋体" w:asciiTheme="minorEastAsia" w:hAnsiTheme="minorEastAsia" w:eastAsiaTheme="minorEastAsia"/>
                <w:kern w:val="0"/>
                <w:sz w:val="21"/>
                <w:szCs w:val="21"/>
              </w:rPr>
              <w:t>1</w:t>
            </w:r>
          </w:p>
        </w:tc>
        <w:tc>
          <w:tcPr>
            <w:tcW w:w="861"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选</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自</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行</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随</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机</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放</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置</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于</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任</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意</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仓</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位</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中</w:t>
            </w:r>
          </w:p>
        </w:tc>
        <w:tc>
          <w:tcPr>
            <w:tcW w:w="861"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正</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面</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朝</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下</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0001</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B</w:t>
            </w:r>
            <w:r>
              <w:rPr>
                <w:rFonts w:cs="宋体" w:asciiTheme="minorEastAsia" w:hAnsiTheme="minorEastAsia" w:eastAsiaTheme="minorEastAsia"/>
                <w:kern w:val="0"/>
                <w:sz w:val="21"/>
                <w:szCs w:val="21"/>
              </w:rPr>
              <w:t>1C5C7C2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0" w:type="dxa"/>
            <w:vMerge w:val="continue"/>
            <w:vAlign w:val="center"/>
          </w:tcPr>
          <w:p>
            <w:pPr>
              <w:jc w:val="center"/>
              <w:rPr>
                <w:rFonts w:cs="宋体" w:asciiTheme="minorEastAsia" w:hAnsiTheme="minorEastAsia" w:eastAsiaTheme="minorEastAsia"/>
                <w:kern w:val="0"/>
                <w:sz w:val="21"/>
                <w:szCs w:val="21"/>
              </w:rPr>
            </w:pPr>
          </w:p>
        </w:tc>
        <w:tc>
          <w:tcPr>
            <w:tcW w:w="86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轮毂</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2</w:t>
            </w: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0002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C</w:t>
            </w:r>
            <w:r>
              <w:rPr>
                <w:rFonts w:cs="宋体" w:asciiTheme="minorEastAsia" w:hAnsiTheme="minorEastAsia" w:eastAsiaTheme="minorEastAsia"/>
                <w:kern w:val="0"/>
                <w:sz w:val="21"/>
                <w:szCs w:val="21"/>
              </w:rPr>
              <w:t>2C5B1</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0" w:type="dxa"/>
            <w:vMerge w:val="continue"/>
            <w:vAlign w:val="center"/>
          </w:tcPr>
          <w:p>
            <w:pPr>
              <w:jc w:val="center"/>
              <w:rPr>
                <w:rFonts w:cs="宋体" w:asciiTheme="minorEastAsia" w:hAnsiTheme="minorEastAsia" w:eastAsiaTheme="minorEastAsia"/>
                <w:kern w:val="0"/>
                <w:sz w:val="21"/>
                <w:szCs w:val="21"/>
              </w:rPr>
            </w:pPr>
          </w:p>
        </w:tc>
        <w:tc>
          <w:tcPr>
            <w:tcW w:w="86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轮毂</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3</w:t>
            </w: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0002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C</w:t>
            </w:r>
            <w:r>
              <w:rPr>
                <w:rFonts w:cs="宋体" w:asciiTheme="minorEastAsia" w:hAnsiTheme="minorEastAsia" w:eastAsiaTheme="minorEastAsia"/>
                <w:kern w:val="0"/>
                <w:sz w:val="21"/>
                <w:szCs w:val="21"/>
              </w:rPr>
              <w:t>9B1C2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0" w:type="dxa"/>
            <w:vMerge w:val="continue"/>
            <w:vAlign w:val="center"/>
          </w:tcPr>
          <w:p>
            <w:pPr>
              <w:jc w:val="center"/>
              <w:rPr>
                <w:rFonts w:cs="宋体" w:asciiTheme="minorEastAsia" w:hAnsiTheme="minorEastAsia" w:eastAsiaTheme="minorEastAsia"/>
                <w:kern w:val="0"/>
                <w:sz w:val="21"/>
                <w:szCs w:val="21"/>
              </w:rPr>
            </w:pPr>
          </w:p>
        </w:tc>
        <w:tc>
          <w:tcPr>
            <w:tcW w:w="86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轮毂</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4</w:t>
            </w: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0001</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B</w:t>
            </w:r>
            <w:r>
              <w:rPr>
                <w:rFonts w:cs="宋体" w:asciiTheme="minorEastAsia" w:hAnsiTheme="minorEastAsia" w:eastAsiaTheme="minorEastAsia"/>
                <w:kern w:val="0"/>
                <w:sz w:val="21"/>
                <w:szCs w:val="21"/>
              </w:rPr>
              <w:t>2C5</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0" w:type="dxa"/>
            <w:vMerge w:val="continue"/>
            <w:vAlign w:val="center"/>
          </w:tcPr>
          <w:p>
            <w:pPr>
              <w:jc w:val="center"/>
              <w:rPr>
                <w:rFonts w:cs="宋体" w:asciiTheme="minorEastAsia" w:hAnsiTheme="minorEastAsia" w:eastAsiaTheme="minorEastAsia"/>
                <w:kern w:val="0"/>
                <w:sz w:val="21"/>
                <w:szCs w:val="21"/>
              </w:rPr>
            </w:pPr>
          </w:p>
        </w:tc>
        <w:tc>
          <w:tcPr>
            <w:tcW w:w="86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轮毂</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5</w:t>
            </w: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0002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C</w:t>
            </w:r>
            <w:r>
              <w:rPr>
                <w:rFonts w:cs="宋体" w:asciiTheme="minorEastAsia" w:hAnsiTheme="minorEastAsia" w:eastAsiaTheme="minorEastAsia"/>
                <w:kern w:val="0"/>
                <w:sz w:val="21"/>
                <w:szCs w:val="21"/>
              </w:rPr>
              <w:t>6B2C7C2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0" w:type="dxa"/>
            <w:vMerge w:val="continue"/>
            <w:vAlign w:val="center"/>
          </w:tcPr>
          <w:p>
            <w:pPr>
              <w:jc w:val="center"/>
              <w:rPr>
                <w:rFonts w:cs="宋体" w:asciiTheme="minorEastAsia" w:hAnsiTheme="minorEastAsia" w:eastAsiaTheme="minorEastAsia"/>
                <w:kern w:val="0"/>
                <w:sz w:val="21"/>
                <w:szCs w:val="21"/>
              </w:rPr>
            </w:pPr>
          </w:p>
        </w:tc>
        <w:tc>
          <w:tcPr>
            <w:tcW w:w="86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轮毂</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6</w:t>
            </w: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Merge w:val="continue"/>
            <w:vAlign w:val="center"/>
          </w:tcPr>
          <w:p>
            <w:pPr>
              <w:jc w:val="center"/>
              <w:rPr>
                <w:rFonts w:cs="宋体" w:asciiTheme="minorEastAsia" w:hAnsiTheme="minorEastAsia" w:eastAsiaTheme="minorEastAsia"/>
                <w:kern w:val="0"/>
                <w:sz w:val="21"/>
                <w:szCs w:val="21"/>
              </w:rPr>
            </w:pP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0002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B</w:t>
            </w:r>
            <w:r>
              <w:rPr>
                <w:rFonts w:cs="宋体" w:asciiTheme="minorEastAsia" w:hAnsiTheme="minorEastAsia" w:eastAsiaTheme="minorEastAsia"/>
                <w:kern w:val="0"/>
                <w:sz w:val="21"/>
                <w:szCs w:val="21"/>
              </w:rPr>
              <w:t>2C8C2</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红色</w:t>
            </w:r>
          </w:p>
        </w:tc>
        <w:tc>
          <w:tcPr>
            <w:tcW w:w="861"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绿色</w:t>
            </w:r>
          </w:p>
        </w:tc>
      </w:tr>
    </w:tbl>
    <w:p>
      <w:pPr>
        <w:spacing w:line="560" w:lineRule="exact"/>
        <w:ind w:firstLine="560" w:firstLineChars="200"/>
        <w:jc w:val="left"/>
        <w:rPr>
          <w:rFonts w:ascii="仿宋" w:hAnsi="仿宋" w:eastAsia="仿宋_GB2312" w:cs="宋体"/>
          <w:sz w:val="28"/>
          <w:szCs w:val="21"/>
        </w:rPr>
      </w:pPr>
    </w:p>
    <w:p>
      <w:pPr>
        <w:rPr>
          <w:rFonts w:ascii="仿宋" w:hAnsi="仿宋" w:eastAsia="仿宋_GB2312" w:cs="宋体"/>
          <w:sz w:val="28"/>
          <w:szCs w:val="21"/>
        </w:rPr>
      </w:pPr>
      <w:r>
        <w:drawing>
          <wp:inline distT="0" distB="0" distL="0" distR="0">
            <wp:extent cx="5472430" cy="7540625"/>
            <wp:effectExtent l="0" t="0" r="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5472430" cy="7540625"/>
                    </a:xfrm>
                    <a:prstGeom prst="rect">
                      <a:avLst/>
                    </a:prstGeom>
                  </pic:spPr>
                </pic:pic>
              </a:graphicData>
            </a:graphic>
          </wp:inline>
        </w:drawing>
      </w:r>
    </w:p>
    <w:p>
      <w:pPr>
        <w:spacing w:line="560" w:lineRule="exact"/>
        <w:ind w:firstLine="560" w:firstLineChars="200"/>
        <w:jc w:val="center"/>
        <w:rPr>
          <w:rFonts w:ascii="仿宋" w:hAnsi="仿宋" w:eastAsia="仿宋_GB2312" w:cs="宋体"/>
          <w:sz w:val="28"/>
          <w:szCs w:val="21"/>
        </w:rPr>
      </w:pPr>
      <w:r>
        <w:rPr>
          <w:rFonts w:hint="eastAsia" w:ascii="仿宋" w:hAnsi="仿宋" w:eastAsia="仿宋_GB2312" w:cs="宋体"/>
          <w:sz w:val="28"/>
          <w:szCs w:val="21"/>
        </w:rPr>
        <w:t>图 3 定制化生产产品工艺流程图</w:t>
      </w:r>
    </w:p>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任务一</w:t>
      </w:r>
      <w:r>
        <w:rPr>
          <w:rFonts w:ascii="仿宋" w:hAnsi="仿宋" w:eastAsia="仿宋"/>
          <w:b/>
          <w:kern w:val="44"/>
          <w:sz w:val="32"/>
          <w:szCs w:val="15"/>
        </w:rPr>
        <w:t xml:space="preserve"> </w:t>
      </w:r>
      <w:r>
        <w:rPr>
          <w:rFonts w:hint="eastAsia" w:ascii="仿宋" w:hAnsi="仿宋" w:eastAsia="仿宋"/>
          <w:b/>
          <w:kern w:val="44"/>
          <w:sz w:val="32"/>
          <w:szCs w:val="15"/>
        </w:rPr>
        <w:t>制造单元改造方案设计</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1.</w:t>
      </w:r>
      <w:r>
        <w:rPr>
          <w:rFonts w:hint="eastAsia" w:ascii="仿宋" w:hAnsi="仿宋" w:eastAsia="仿宋_GB2312" w:cs="宋体"/>
          <w:sz w:val="28"/>
          <w:szCs w:val="21"/>
        </w:rPr>
        <w:t>系统布局方案设计</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根据产品生产工艺流程，结合所提供的硬件单元尺寸和功能，合理设计各单元的布局分布，并在任务书最后附一（任选</w:t>
      </w:r>
      <w:r>
        <w:rPr>
          <w:rFonts w:ascii="仿宋" w:hAnsi="仿宋" w:eastAsia="仿宋_GB2312" w:cs="宋体"/>
          <w:sz w:val="28"/>
          <w:szCs w:val="21"/>
        </w:rPr>
        <w:t>1</w:t>
      </w:r>
      <w:r>
        <w:rPr>
          <w:rFonts w:hint="eastAsia" w:ascii="仿宋" w:hAnsi="仿宋" w:eastAsia="仿宋_GB2312" w:cs="宋体"/>
          <w:sz w:val="28"/>
          <w:szCs w:val="21"/>
        </w:rPr>
        <w:t>份任务书）上绘制布局方案，各单元用框图表示并用文字标识，比例适当。</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2.</w:t>
      </w:r>
      <w:r>
        <w:rPr>
          <w:rFonts w:hint="eastAsia" w:ascii="仿宋" w:hAnsi="仿宋" w:eastAsia="仿宋_GB2312" w:cs="宋体"/>
          <w:sz w:val="28"/>
          <w:szCs w:val="21"/>
        </w:rPr>
        <w:t>控制系统方案设计</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根据产品生产工艺流程，结合提供的硬件单元功能，合理设计控制系统结构，并在任务书最后附二（任选</w:t>
      </w:r>
      <w:r>
        <w:rPr>
          <w:rFonts w:ascii="仿宋" w:hAnsi="仿宋" w:eastAsia="仿宋_GB2312" w:cs="宋体"/>
          <w:sz w:val="28"/>
          <w:szCs w:val="21"/>
        </w:rPr>
        <w:t>1</w:t>
      </w:r>
      <w:r>
        <w:rPr>
          <w:rFonts w:hint="eastAsia" w:ascii="仿宋" w:hAnsi="仿宋" w:eastAsia="仿宋_GB2312" w:cs="宋体"/>
          <w:sz w:val="28"/>
          <w:szCs w:val="21"/>
        </w:rPr>
        <w:t>份任务书）上绘制控制系统通讯拓扑结构。</w:t>
      </w:r>
      <w:r>
        <w:rPr>
          <w:rFonts w:hint="eastAsia" w:ascii="仿宋" w:hAnsi="仿宋" w:eastAsia="仿宋_GB2312" w:cs="宋体"/>
          <w:b/>
          <w:sz w:val="28"/>
          <w:szCs w:val="21"/>
        </w:rPr>
        <w:t>要求：</w:t>
      </w:r>
      <w:r>
        <w:rPr>
          <w:rFonts w:hint="eastAsia" w:ascii="仿宋" w:hAnsi="仿宋" w:eastAsia="仿宋_GB2312" w:cs="宋体"/>
          <w:sz w:val="28"/>
          <w:szCs w:val="21"/>
        </w:rPr>
        <w:t>各功能单元的远程</w:t>
      </w:r>
      <w:r>
        <w:rPr>
          <w:rFonts w:ascii="仿宋" w:hAnsi="仿宋" w:eastAsia="仿宋_GB2312" w:cs="宋体"/>
          <w:sz w:val="28"/>
          <w:szCs w:val="21"/>
        </w:rPr>
        <w:t>IO</w:t>
      </w:r>
      <w:r>
        <w:rPr>
          <w:rFonts w:hint="eastAsia" w:ascii="仿宋" w:hAnsi="仿宋" w:eastAsia="仿宋_GB2312" w:cs="宋体"/>
          <w:sz w:val="28"/>
          <w:szCs w:val="21"/>
        </w:rPr>
        <w:t>模块必须连接到总控单元的</w:t>
      </w:r>
      <w:r>
        <w:rPr>
          <w:rFonts w:ascii="仿宋" w:hAnsi="仿宋" w:eastAsia="仿宋_GB2312" w:cs="宋体"/>
          <w:sz w:val="28"/>
          <w:szCs w:val="21"/>
        </w:rPr>
        <w:t>PLC</w:t>
      </w:r>
      <w:r>
        <w:rPr>
          <w:rFonts w:hint="eastAsia" w:ascii="仿宋" w:hAnsi="仿宋" w:eastAsia="仿宋_GB2312" w:cs="宋体"/>
          <w:sz w:val="28"/>
          <w:szCs w:val="21"/>
        </w:rPr>
        <w:t>上，通过连线体现出所有网络通信设备的连接情况，并注明设备名称和其</w:t>
      </w:r>
      <w:r>
        <w:rPr>
          <w:rFonts w:ascii="仿宋" w:hAnsi="仿宋" w:eastAsia="仿宋_GB2312" w:cs="宋体"/>
          <w:sz w:val="28"/>
          <w:szCs w:val="21"/>
        </w:rPr>
        <w:t>IP</w:t>
      </w:r>
      <w:r>
        <w:rPr>
          <w:rFonts w:hint="eastAsia" w:ascii="仿宋" w:hAnsi="仿宋" w:eastAsia="仿宋_GB2312" w:cs="宋体"/>
          <w:sz w:val="28"/>
          <w:szCs w:val="21"/>
        </w:rPr>
        <w:t>地址。</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3.</w:t>
      </w:r>
      <w:r>
        <w:rPr>
          <w:rFonts w:hint="eastAsia" w:ascii="仿宋" w:hAnsi="仿宋" w:eastAsia="仿宋_GB2312" w:cs="宋体"/>
          <w:sz w:val="28"/>
          <w:szCs w:val="21"/>
        </w:rPr>
        <w:t>虚拟仿真三维环境搭建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根据系统布局方案设计结果，在</w:t>
      </w:r>
      <w:r>
        <w:rPr>
          <w:rFonts w:ascii="仿宋" w:hAnsi="仿宋" w:eastAsia="仿宋_GB2312" w:cs="宋体"/>
          <w:sz w:val="28"/>
          <w:szCs w:val="21"/>
        </w:rPr>
        <w:t>RobotArt</w:t>
      </w:r>
      <w:r>
        <w:rPr>
          <w:rFonts w:hint="eastAsia" w:ascii="仿宋" w:hAnsi="仿宋" w:eastAsia="仿宋_GB2312" w:cs="宋体"/>
          <w:sz w:val="28"/>
          <w:szCs w:val="21"/>
        </w:rPr>
        <w:t>软件中，完成对应用平台所有单元的布置拼装。</w:t>
      </w:r>
      <w:r>
        <w:rPr>
          <w:rFonts w:hint="eastAsia" w:ascii="仿宋" w:hAnsi="仿宋" w:eastAsia="仿宋_GB2312" w:cs="宋体"/>
          <w:b/>
          <w:sz w:val="28"/>
          <w:szCs w:val="21"/>
        </w:rPr>
        <w:t>要求：</w:t>
      </w:r>
      <w:r>
        <w:rPr>
          <w:rFonts w:hint="eastAsia" w:ascii="仿宋" w:hAnsi="仿宋" w:eastAsia="仿宋_GB2312" w:cs="宋体"/>
          <w:sz w:val="28"/>
          <w:szCs w:val="21"/>
        </w:rPr>
        <w:t>布局方式与系统布局方案设计结果一致。</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工作站模型文件可通过工具栏“工作站”按钮打开使用，通过工具栏“另存为”按钮保存到指定文件夹中，请勿擅自更改文件后缀。软件操作过程中注意随时保存比赛成果。</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4.</w:t>
      </w:r>
      <w:r>
        <w:rPr>
          <w:rFonts w:hint="eastAsia" w:ascii="仿宋" w:hAnsi="仿宋" w:eastAsia="仿宋_GB2312" w:cs="宋体"/>
          <w:sz w:val="28"/>
          <w:szCs w:val="21"/>
        </w:rPr>
        <w:t>生产工艺流程虚拟仿真</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根据轮毂零件定制化生产产品的生产工艺流程图，结合下面表 2 的初始特征及状态信息，在RobotArt软件中，对工业机器人运动轨迹编程和各单元动作信号设置，</w:t>
      </w:r>
      <w:r>
        <w:rPr>
          <w:rFonts w:hint="eastAsia" w:ascii="仿宋" w:hAnsi="仿宋" w:eastAsia="仿宋_GB2312" w:cs="宋体"/>
          <w:b/>
          <w:bCs/>
          <w:sz w:val="28"/>
          <w:szCs w:val="21"/>
        </w:rPr>
        <w:t>完成应用平台的1个轮毂零件的定制化生产流程，可通过仿真模拟全过程动作效果。</w:t>
      </w:r>
      <w:r>
        <w:rPr>
          <w:rFonts w:hint="eastAsia" w:ascii="仿宋" w:hAnsi="仿宋" w:eastAsia="仿宋_GB2312" w:cs="宋体"/>
          <w:sz w:val="28"/>
          <w:szCs w:val="21"/>
        </w:rPr>
        <w:t>动作过程中工业机器人不可出现不可达点、轴限位点和奇异点。仅针对虚拟仿真过程，轮毂零件初始状态如表 2 所示，以便确定流程内容。选手需根据轮毂实际状态决定放回仓储单元前是否需要自行增加翻转工序，最终要求轮毂零件正面朝下放回仓储单元。</w:t>
      </w:r>
    </w:p>
    <w:p>
      <w:pPr>
        <w:keepNext/>
        <w:widowControl/>
        <w:spacing w:before="120"/>
        <w:jc w:val="center"/>
        <w:rPr>
          <w:rFonts w:ascii="Arial Narrow" w:hAnsi="Arial Narrow" w:eastAsia="仿宋_GB2312" w:cs="宋体"/>
          <w:sz w:val="24"/>
          <w:szCs w:val="21"/>
        </w:rPr>
      </w:pPr>
      <w:bookmarkStart w:id="2" w:name="_Ref514518293"/>
      <w:r>
        <w:rPr>
          <w:rFonts w:hint="eastAsia" w:ascii="Arial Narrow" w:hAnsi="仿宋" w:eastAsia="仿宋_GB2312" w:cs="宋体"/>
          <w:sz w:val="24"/>
          <w:szCs w:val="21"/>
        </w:rPr>
        <w:t>表</w:t>
      </w:r>
      <w:bookmarkEnd w:id="2"/>
      <w:r>
        <w:rPr>
          <w:rFonts w:hint="eastAsia" w:ascii="Arial Narrow" w:hAnsi="Arial Narrow" w:eastAsia="仿宋_GB2312" w:cs="宋体"/>
          <w:sz w:val="24"/>
          <w:szCs w:val="21"/>
        </w:rPr>
        <w:t>2</w:t>
      </w:r>
      <w:r>
        <w:rPr>
          <w:rFonts w:ascii="Arial Narrow" w:hAnsi="Arial Narrow" w:eastAsia="仿宋_GB2312" w:cs="宋体"/>
          <w:sz w:val="24"/>
          <w:szCs w:val="21"/>
        </w:rPr>
        <w:t xml:space="preserve"> </w:t>
      </w:r>
      <w:r>
        <w:rPr>
          <w:rFonts w:hint="eastAsia" w:ascii="Arial Narrow" w:hAnsi="仿宋" w:eastAsia="仿宋_GB2312" w:cs="宋体"/>
          <w:sz w:val="24"/>
          <w:szCs w:val="21"/>
        </w:rPr>
        <w:t>虚拟仿真过程轮毂初始状态</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8"/>
        <w:gridCol w:w="1206"/>
        <w:gridCol w:w="1023"/>
        <w:gridCol w:w="1023"/>
        <w:gridCol w:w="1148"/>
        <w:gridCol w:w="1148"/>
        <w:gridCol w:w="1148"/>
        <w:gridCol w:w="11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75"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轮毂放置仓位</w:t>
            </w:r>
          </w:p>
        </w:tc>
        <w:tc>
          <w:tcPr>
            <w:tcW w:w="1191"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轮毂放置方向</w:t>
            </w:r>
          </w:p>
        </w:tc>
        <w:tc>
          <w:tcPr>
            <w:tcW w:w="1010"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正面产品编号</w:t>
            </w:r>
          </w:p>
        </w:tc>
        <w:tc>
          <w:tcPr>
            <w:tcW w:w="1010"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背面产品编号</w:t>
            </w:r>
          </w:p>
        </w:tc>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视觉检测区域</w:t>
            </w:r>
            <w:r>
              <w:rPr>
                <w:rFonts w:ascii="仿宋" w:hAnsi="仿宋" w:eastAsia="仿宋_GB2312"/>
                <w:kern w:val="0"/>
                <w:sz w:val="24"/>
                <w:szCs w:val="20"/>
              </w:rPr>
              <w:t>1</w:t>
            </w:r>
          </w:p>
        </w:tc>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视觉检测区域</w:t>
            </w:r>
            <w:r>
              <w:rPr>
                <w:rFonts w:ascii="仿宋" w:hAnsi="仿宋" w:eastAsia="仿宋_GB2312"/>
                <w:kern w:val="0"/>
                <w:sz w:val="24"/>
                <w:szCs w:val="20"/>
              </w:rPr>
              <w:t>2</w:t>
            </w:r>
          </w:p>
        </w:tc>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视觉检测区域</w:t>
            </w:r>
            <w:r>
              <w:rPr>
                <w:rFonts w:ascii="仿宋" w:hAnsi="仿宋" w:eastAsia="仿宋_GB2312"/>
                <w:kern w:val="0"/>
                <w:sz w:val="24"/>
                <w:szCs w:val="20"/>
              </w:rPr>
              <w:t>3</w:t>
            </w:r>
          </w:p>
        </w:tc>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视觉检测区域</w:t>
            </w:r>
            <w:r>
              <w:rPr>
                <w:rFonts w:ascii="仿宋" w:hAnsi="仿宋" w:eastAsia="仿宋_GB2312"/>
                <w:kern w:val="0"/>
                <w:sz w:val="24"/>
                <w:szCs w:val="20"/>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75" w:type="dxa"/>
            <w:vAlign w:val="center"/>
          </w:tcPr>
          <w:p>
            <w:pPr>
              <w:jc w:val="center"/>
              <w:rPr>
                <w:rFonts w:ascii="仿宋" w:hAnsi="仿宋" w:eastAsia="仿宋_GB2312"/>
                <w:kern w:val="0"/>
                <w:sz w:val="24"/>
                <w:szCs w:val="20"/>
              </w:rPr>
            </w:pPr>
            <w:r>
              <w:rPr>
                <w:rFonts w:ascii="仿宋" w:hAnsi="仿宋" w:eastAsia="仿宋_GB2312"/>
                <w:kern w:val="0"/>
                <w:sz w:val="24"/>
                <w:szCs w:val="20"/>
              </w:rPr>
              <w:t>4</w:t>
            </w:r>
          </w:p>
        </w:tc>
        <w:tc>
          <w:tcPr>
            <w:tcW w:w="1191"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背面向上</w:t>
            </w:r>
          </w:p>
        </w:tc>
        <w:tc>
          <w:tcPr>
            <w:tcW w:w="1010" w:type="dxa"/>
            <w:vAlign w:val="center"/>
          </w:tcPr>
          <w:p>
            <w:pPr>
              <w:jc w:val="center"/>
              <w:rPr>
                <w:rFonts w:ascii="仿宋" w:hAnsi="仿宋" w:eastAsia="仿宋_GB2312"/>
                <w:kern w:val="0"/>
                <w:sz w:val="24"/>
                <w:szCs w:val="20"/>
              </w:rPr>
            </w:pPr>
            <w:r>
              <w:rPr>
                <w:rFonts w:ascii="仿宋" w:hAnsi="仿宋" w:eastAsia="仿宋_GB2312"/>
                <w:kern w:val="0"/>
                <w:sz w:val="24"/>
                <w:szCs w:val="20"/>
              </w:rPr>
              <w:t>000</w:t>
            </w:r>
            <w:r>
              <w:rPr>
                <w:rFonts w:hint="eastAsia" w:ascii="仿宋" w:hAnsi="仿宋" w:eastAsia="仿宋_GB2312"/>
                <w:kern w:val="0"/>
                <w:sz w:val="24"/>
                <w:szCs w:val="20"/>
              </w:rPr>
              <w:t>1</w:t>
            </w:r>
          </w:p>
        </w:tc>
        <w:tc>
          <w:tcPr>
            <w:tcW w:w="1010" w:type="dxa"/>
            <w:vAlign w:val="center"/>
          </w:tcPr>
          <w:p>
            <w:pPr>
              <w:jc w:val="center"/>
              <w:rPr>
                <w:rFonts w:ascii="仿宋" w:hAnsi="仿宋" w:eastAsia="仿宋_GB2312"/>
                <w:kern w:val="0"/>
                <w:sz w:val="24"/>
                <w:szCs w:val="20"/>
              </w:rPr>
            </w:pPr>
            <w:r>
              <w:rPr>
                <w:rFonts w:ascii="仿宋" w:hAnsi="仿宋" w:eastAsia="仿宋_GB2312"/>
                <w:kern w:val="0"/>
                <w:sz w:val="24"/>
                <w:szCs w:val="20"/>
              </w:rPr>
              <w:t>B2C5</w:t>
            </w:r>
          </w:p>
        </w:tc>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绿色</w:t>
            </w:r>
            <w:r>
              <w:rPr>
                <w:rFonts w:ascii="仿宋" w:hAnsi="仿宋" w:eastAsia="仿宋_GB2312"/>
                <w:kern w:val="0"/>
                <w:sz w:val="24"/>
                <w:szCs w:val="20"/>
              </w:rPr>
              <w:t>/OK</w:t>
            </w:r>
          </w:p>
        </w:tc>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绿色</w:t>
            </w:r>
            <w:r>
              <w:rPr>
                <w:rFonts w:ascii="仿宋" w:hAnsi="仿宋" w:eastAsia="仿宋_GB2312"/>
                <w:kern w:val="0"/>
                <w:sz w:val="24"/>
                <w:szCs w:val="20"/>
              </w:rPr>
              <w:t>/OK</w:t>
            </w:r>
          </w:p>
        </w:tc>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红色</w:t>
            </w:r>
            <w:r>
              <w:rPr>
                <w:rFonts w:ascii="仿宋" w:hAnsi="仿宋" w:eastAsia="仿宋_GB2312"/>
                <w:kern w:val="0"/>
                <w:sz w:val="24"/>
                <w:szCs w:val="20"/>
              </w:rPr>
              <w:t>/NG</w:t>
            </w:r>
          </w:p>
        </w:tc>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绿色</w:t>
            </w:r>
            <w:r>
              <w:rPr>
                <w:rFonts w:ascii="仿宋" w:hAnsi="仿宋" w:eastAsia="仿宋_GB2312"/>
                <w:kern w:val="0"/>
                <w:sz w:val="24"/>
                <w:szCs w:val="20"/>
              </w:rPr>
              <w:t>/OK</w:t>
            </w:r>
          </w:p>
        </w:tc>
      </w:tr>
    </w:tbl>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任务二</w:t>
      </w:r>
      <w:r>
        <w:rPr>
          <w:rFonts w:ascii="仿宋" w:hAnsi="仿宋" w:eastAsia="仿宋"/>
          <w:b/>
          <w:kern w:val="44"/>
          <w:sz w:val="32"/>
          <w:szCs w:val="15"/>
        </w:rPr>
        <w:t xml:space="preserve"> </w:t>
      </w:r>
      <w:r>
        <w:rPr>
          <w:rFonts w:hint="eastAsia" w:ascii="仿宋" w:hAnsi="仿宋" w:eastAsia="仿宋"/>
          <w:b/>
          <w:kern w:val="44"/>
          <w:sz w:val="32"/>
          <w:szCs w:val="15"/>
        </w:rPr>
        <w:t>硬件搭建及电气接线</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1.</w:t>
      </w:r>
      <w:r>
        <w:rPr>
          <w:rFonts w:hint="eastAsia" w:ascii="仿宋" w:hAnsi="仿宋" w:eastAsia="仿宋_GB2312" w:cs="宋体"/>
          <w:sz w:val="28"/>
          <w:szCs w:val="21"/>
        </w:rPr>
        <w:t>单元布局搭建及固定</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根据系统布局方案设计，调整各单元的相对位置，完成应用平台的硬件拼装固定。</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1</w:t>
      </w:r>
      <w:r>
        <w:rPr>
          <w:rFonts w:hint="eastAsia" w:ascii="仿宋" w:hAnsi="仿宋" w:eastAsia="仿宋_GB2312" w:cs="宋体"/>
          <w:sz w:val="28"/>
          <w:szCs w:val="21"/>
        </w:rPr>
        <w:t>）根据布局设计完成各单元位置调整。</w:t>
      </w:r>
      <w:r>
        <w:rPr>
          <w:rFonts w:hint="eastAsia" w:ascii="仿宋" w:hAnsi="仿宋" w:eastAsia="仿宋_GB2312" w:cs="宋体"/>
          <w:b/>
          <w:sz w:val="28"/>
          <w:szCs w:val="21"/>
        </w:rPr>
        <w:t>要求：</w:t>
      </w:r>
      <w:r>
        <w:rPr>
          <w:rFonts w:hint="eastAsia" w:ascii="仿宋" w:hAnsi="仿宋" w:eastAsia="仿宋_GB2312" w:cs="宋体"/>
          <w:sz w:val="28"/>
          <w:szCs w:val="21"/>
        </w:rPr>
        <w:t>各单元地脚支撑升起，各单元间通过连接板固连。</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2</w:t>
      </w:r>
      <w:r>
        <w:rPr>
          <w:rFonts w:hint="eastAsia" w:ascii="仿宋" w:hAnsi="仿宋" w:eastAsia="仿宋_GB2312" w:cs="宋体"/>
          <w:sz w:val="28"/>
          <w:szCs w:val="21"/>
        </w:rPr>
        <w:t>）对各单元的底柜门板做调整。</w:t>
      </w:r>
      <w:r>
        <w:rPr>
          <w:rFonts w:hint="eastAsia" w:ascii="仿宋" w:hAnsi="仿宋" w:eastAsia="仿宋_GB2312" w:cs="宋体"/>
          <w:b/>
          <w:sz w:val="28"/>
          <w:szCs w:val="21"/>
        </w:rPr>
        <w:t>要求：</w:t>
      </w:r>
      <w:r>
        <w:rPr>
          <w:rFonts w:hint="eastAsia" w:ascii="仿宋" w:hAnsi="仿宋" w:eastAsia="仿宋_GB2312" w:cs="宋体"/>
          <w:sz w:val="28"/>
          <w:szCs w:val="21"/>
        </w:rPr>
        <w:t>应用平台底柜内部连通、无门板遮挡，外侧四周全部安装门板，多余门板放置在</w:t>
      </w:r>
      <w:r>
        <w:rPr>
          <w:rFonts w:ascii="仿宋" w:hAnsi="仿宋" w:eastAsia="仿宋_GB2312" w:cs="宋体"/>
          <w:sz w:val="28"/>
          <w:szCs w:val="21"/>
        </w:rPr>
        <w:t>U</w:t>
      </w:r>
      <w:r>
        <w:rPr>
          <w:rFonts w:hint="eastAsia" w:ascii="仿宋" w:hAnsi="仿宋" w:eastAsia="仿宋_GB2312" w:cs="宋体"/>
          <w:sz w:val="28"/>
          <w:szCs w:val="21"/>
        </w:rPr>
        <w:t>型支架内。</w:t>
      </w:r>
    </w:p>
    <w:p>
      <w:pPr>
        <w:spacing w:line="560" w:lineRule="exact"/>
        <w:ind w:firstLine="560" w:firstLineChars="200"/>
        <w:jc w:val="left"/>
        <w:outlineLvl w:val="1"/>
        <w:rPr>
          <w:rFonts w:ascii="仿宋" w:hAnsi="仿宋" w:eastAsia="仿宋_GB2312" w:cs="宋体"/>
          <w:sz w:val="28"/>
          <w:szCs w:val="21"/>
        </w:rPr>
      </w:pPr>
      <w:r>
        <w:rPr>
          <w:rFonts w:ascii="仿宋" w:hAnsi="仿宋" w:eastAsia="仿宋_GB2312" w:cs="宋体"/>
          <w:sz w:val="28"/>
          <w:szCs w:val="21"/>
        </w:rPr>
        <w:t>2.</w:t>
      </w:r>
      <w:r>
        <w:rPr>
          <w:rFonts w:hint="eastAsia" w:ascii="仿宋" w:hAnsi="仿宋" w:eastAsia="仿宋_GB2312" w:cs="宋体"/>
          <w:sz w:val="28"/>
          <w:szCs w:val="21"/>
        </w:rPr>
        <w:t>电气、通讯接线</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根据系统布局方案设计和控制系统方案设计，完成各单元的电源、气源、通讯线路连接和布线，完成电脑与监控终端（电视）的高清视频线缆连接，完成工业机器人示教器的线缆连接。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1</w:t>
      </w:r>
      <w:r>
        <w:rPr>
          <w:rFonts w:hint="eastAsia" w:ascii="仿宋" w:hAnsi="仿宋" w:eastAsia="仿宋_GB2312" w:cs="宋体"/>
          <w:sz w:val="28"/>
          <w:szCs w:val="21"/>
        </w:rPr>
        <w:t>）电源线缆由单元底柜的底板快接插头安装后通过底柜的下部线槽铺设；气源、通讯线缆由设备端安装后通过底柜的上部线槽铺设。</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2</w:t>
      </w:r>
      <w:r>
        <w:rPr>
          <w:rFonts w:hint="eastAsia" w:ascii="仿宋" w:hAnsi="仿宋" w:eastAsia="仿宋_GB2312" w:cs="宋体"/>
          <w:sz w:val="28"/>
          <w:szCs w:val="21"/>
        </w:rPr>
        <w:t>）单元间电源线缆未放入线槽部分，不能出现折弯，整齐摆放在底柜底板上。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3</w:t>
      </w:r>
      <w:r>
        <w:rPr>
          <w:rFonts w:hint="eastAsia" w:ascii="仿宋" w:hAnsi="仿宋" w:eastAsia="仿宋_GB2312" w:cs="宋体"/>
          <w:sz w:val="28"/>
          <w:szCs w:val="21"/>
        </w:rPr>
        <w:t>）应用平台总电源线路完成连接后用赛位内提供的临时线槽覆盖。</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4</w:t>
      </w:r>
      <w:r>
        <w:rPr>
          <w:rFonts w:hint="eastAsia" w:ascii="仿宋" w:hAnsi="仿宋" w:eastAsia="仿宋_GB2312" w:cs="宋体"/>
          <w:sz w:val="28"/>
          <w:szCs w:val="21"/>
        </w:rPr>
        <w:t>）气源线缆在台面部分必须进入线槽，未进入线槽部分利用线夹和扎带固定在台面或立柱上，要求裁剪长度合适，不能出现折弯、缠绕和变形，不允许出现漏气。</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5</w:t>
      </w:r>
      <w:r>
        <w:rPr>
          <w:rFonts w:hint="eastAsia" w:ascii="仿宋" w:hAnsi="仿宋" w:eastAsia="仿宋_GB2312" w:cs="宋体"/>
          <w:sz w:val="28"/>
          <w:szCs w:val="21"/>
        </w:rPr>
        <w:t>）通讯线缆在台面部分必须进入线槽，未进入线槽部分利用线夹和扎带固定在台面或立柱上，不能出现折弯、缠绕和变形。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6</w:t>
      </w:r>
      <w:r>
        <w:rPr>
          <w:rFonts w:hint="eastAsia" w:ascii="仿宋" w:hAnsi="仿宋" w:eastAsia="仿宋_GB2312" w:cs="宋体"/>
          <w:sz w:val="28"/>
          <w:szCs w:val="21"/>
        </w:rPr>
        <w:t>）工业机器人示教器线缆在插接时注意接口方向和旋紧螺母的使用方法，不得在未完全插入前转动快接插头。</w:t>
      </w:r>
    </w:p>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任务三</w:t>
      </w:r>
      <w:r>
        <w:rPr>
          <w:rFonts w:ascii="仿宋" w:hAnsi="仿宋" w:eastAsia="仿宋"/>
          <w:b/>
          <w:kern w:val="44"/>
          <w:sz w:val="32"/>
          <w:szCs w:val="15"/>
        </w:rPr>
        <w:t xml:space="preserve"> </w:t>
      </w:r>
      <w:r>
        <w:rPr>
          <w:rFonts w:hint="eastAsia" w:ascii="仿宋" w:hAnsi="仿宋" w:eastAsia="仿宋"/>
          <w:b/>
          <w:kern w:val="44"/>
          <w:sz w:val="32"/>
          <w:szCs w:val="15"/>
        </w:rPr>
        <w:t>制造单元的系统集成</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1.</w:t>
      </w:r>
      <w:r>
        <w:rPr>
          <w:rFonts w:hint="eastAsia" w:ascii="仿宋" w:hAnsi="仿宋" w:eastAsia="仿宋_GB2312" w:cs="宋体"/>
          <w:b/>
          <w:bCs/>
          <w:sz w:val="28"/>
          <w:szCs w:val="21"/>
        </w:rPr>
        <w:t>制造单元通讯组态及调试</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1</w:t>
      </w:r>
      <w:r>
        <w:rPr>
          <w:rFonts w:hint="eastAsia" w:ascii="仿宋" w:hAnsi="仿宋" w:eastAsia="仿宋_GB2312" w:cs="宋体"/>
          <w:sz w:val="28"/>
          <w:szCs w:val="21"/>
        </w:rPr>
        <w:t>）总控单元</w:t>
      </w:r>
      <w:r>
        <w:rPr>
          <w:rFonts w:ascii="仿宋" w:hAnsi="仿宋" w:eastAsia="仿宋_GB2312" w:cs="宋体"/>
          <w:sz w:val="28"/>
          <w:szCs w:val="21"/>
        </w:rPr>
        <w:t>PLC</w:t>
      </w:r>
      <w:r>
        <w:rPr>
          <w:rFonts w:hint="eastAsia" w:ascii="仿宋" w:hAnsi="仿宋" w:eastAsia="仿宋_GB2312" w:cs="宋体"/>
          <w:sz w:val="28"/>
          <w:szCs w:val="21"/>
        </w:rPr>
        <w:t>组态设置</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根据控制系统方案设计结果，在</w:t>
      </w:r>
      <w:r>
        <w:rPr>
          <w:rFonts w:ascii="仿宋" w:hAnsi="仿宋" w:eastAsia="仿宋_GB2312" w:cs="宋体"/>
          <w:sz w:val="28"/>
          <w:szCs w:val="21"/>
        </w:rPr>
        <w:t>TIA</w:t>
      </w:r>
      <w:r>
        <w:rPr>
          <w:rFonts w:hint="eastAsia" w:ascii="仿宋" w:hAnsi="仿宋" w:eastAsia="仿宋_GB2312" w:cs="宋体"/>
          <w:sz w:val="28"/>
          <w:szCs w:val="21"/>
        </w:rPr>
        <w:t>编程软件对总控单元的</w:t>
      </w:r>
      <w:r>
        <w:rPr>
          <w:rFonts w:ascii="仿宋" w:hAnsi="仿宋" w:eastAsia="仿宋_GB2312" w:cs="宋体"/>
          <w:sz w:val="28"/>
          <w:szCs w:val="21"/>
        </w:rPr>
        <w:t>PLC</w:t>
      </w:r>
      <w:r>
        <w:rPr>
          <w:rFonts w:hint="eastAsia" w:ascii="仿宋" w:hAnsi="仿宋" w:eastAsia="仿宋_GB2312" w:cs="宋体"/>
          <w:sz w:val="28"/>
          <w:szCs w:val="21"/>
        </w:rPr>
        <w:t>、各单元的远程</w:t>
      </w:r>
      <w:r>
        <w:rPr>
          <w:rFonts w:ascii="仿宋" w:hAnsi="仿宋" w:eastAsia="仿宋_GB2312" w:cs="宋体"/>
          <w:sz w:val="28"/>
          <w:szCs w:val="21"/>
        </w:rPr>
        <w:t>IO</w:t>
      </w:r>
      <w:r>
        <w:rPr>
          <w:rFonts w:hint="eastAsia" w:ascii="仿宋" w:hAnsi="仿宋" w:eastAsia="仿宋_GB2312" w:cs="宋体"/>
          <w:sz w:val="28"/>
          <w:szCs w:val="21"/>
        </w:rPr>
        <w:t>模块和执行单元内</w:t>
      </w:r>
      <w:r>
        <w:rPr>
          <w:rFonts w:ascii="仿宋" w:hAnsi="仿宋" w:eastAsia="仿宋_GB2312" w:cs="宋体"/>
          <w:sz w:val="28"/>
          <w:szCs w:val="21"/>
        </w:rPr>
        <w:t>PLC</w:t>
      </w:r>
      <w:r>
        <w:rPr>
          <w:rFonts w:hint="eastAsia" w:ascii="仿宋" w:hAnsi="仿宋" w:eastAsia="仿宋_GB2312" w:cs="宋体"/>
          <w:sz w:val="28"/>
          <w:szCs w:val="21"/>
        </w:rPr>
        <w:t>进行配置，为每个设备设置其</w:t>
      </w:r>
      <w:r>
        <w:rPr>
          <w:rFonts w:ascii="仿宋" w:hAnsi="仿宋" w:eastAsia="仿宋_GB2312" w:cs="宋体"/>
          <w:sz w:val="28"/>
          <w:szCs w:val="21"/>
        </w:rPr>
        <w:t>IP</w:t>
      </w:r>
      <w:r>
        <w:rPr>
          <w:rFonts w:hint="eastAsia" w:ascii="仿宋" w:hAnsi="仿宋" w:eastAsia="仿宋_GB2312" w:cs="宋体"/>
          <w:sz w:val="28"/>
          <w:szCs w:val="21"/>
        </w:rPr>
        <w:t>地址使其建立正常通讯，并分配各远程</w:t>
      </w:r>
      <w:r>
        <w:rPr>
          <w:rFonts w:ascii="仿宋" w:hAnsi="仿宋" w:eastAsia="仿宋_GB2312" w:cs="宋体"/>
          <w:sz w:val="28"/>
          <w:szCs w:val="21"/>
        </w:rPr>
        <w:t>IO</w:t>
      </w:r>
      <w:r>
        <w:rPr>
          <w:rFonts w:hint="eastAsia" w:ascii="仿宋" w:hAnsi="仿宋" w:eastAsia="仿宋_GB2312" w:cs="宋体"/>
          <w:sz w:val="28"/>
          <w:szCs w:val="21"/>
        </w:rPr>
        <w:t>模块的</w:t>
      </w:r>
      <w:r>
        <w:rPr>
          <w:rFonts w:ascii="仿宋" w:hAnsi="仿宋" w:eastAsia="仿宋_GB2312" w:cs="宋体"/>
          <w:sz w:val="28"/>
          <w:szCs w:val="21"/>
        </w:rPr>
        <w:t>IO</w:t>
      </w:r>
      <w:r>
        <w:rPr>
          <w:rFonts w:hint="eastAsia" w:ascii="仿宋" w:hAnsi="仿宋" w:eastAsia="仿宋_GB2312" w:cs="宋体"/>
          <w:sz w:val="28"/>
          <w:szCs w:val="21"/>
        </w:rPr>
        <w:t>起始地址。根据所提供的各单元内部接线图，建立信号表。</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2</w:t>
      </w:r>
      <w:r>
        <w:rPr>
          <w:rFonts w:hint="eastAsia" w:ascii="仿宋" w:hAnsi="仿宋" w:eastAsia="仿宋_GB2312" w:cs="宋体"/>
          <w:sz w:val="28"/>
          <w:szCs w:val="21"/>
        </w:rPr>
        <w:t>）工业机器人组态设置</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对工业机器人示教器进行操作，在“</w:t>
      </w:r>
      <w:r>
        <w:rPr>
          <w:rFonts w:ascii="仿宋" w:hAnsi="仿宋" w:eastAsia="仿宋_GB2312" w:cs="宋体"/>
          <w:sz w:val="28"/>
          <w:szCs w:val="21"/>
        </w:rPr>
        <w:t>DeviceNet Device</w:t>
      </w:r>
      <w:r>
        <w:rPr>
          <w:rFonts w:hint="eastAsia" w:ascii="仿宋" w:hAnsi="仿宋" w:eastAsia="仿宋_GB2312" w:cs="宋体"/>
          <w:sz w:val="28"/>
          <w:szCs w:val="21"/>
        </w:rPr>
        <w:t>”中添加工业机器人的</w:t>
      </w:r>
      <w:r>
        <w:rPr>
          <w:rFonts w:ascii="仿宋" w:hAnsi="仿宋" w:eastAsia="仿宋_GB2312" w:cs="宋体"/>
          <w:sz w:val="28"/>
          <w:szCs w:val="21"/>
        </w:rPr>
        <w:t>DSQC652</w:t>
      </w:r>
      <w:r>
        <w:rPr>
          <w:rFonts w:hint="eastAsia" w:ascii="仿宋" w:hAnsi="仿宋" w:eastAsia="仿宋_GB2312" w:cs="宋体"/>
          <w:sz w:val="28"/>
          <w:szCs w:val="21"/>
        </w:rPr>
        <w:t>模块，其模块参数如表</w:t>
      </w:r>
      <w:r>
        <w:rPr>
          <w:rFonts w:ascii="仿宋" w:hAnsi="仿宋" w:eastAsia="仿宋_GB2312" w:cs="宋体"/>
          <w:sz w:val="28"/>
          <w:szCs w:val="21"/>
        </w:rPr>
        <w:t>3</w:t>
      </w:r>
      <w:r>
        <w:rPr>
          <w:rFonts w:hint="eastAsia" w:ascii="仿宋" w:hAnsi="仿宋" w:eastAsia="仿宋_GB2312" w:cs="宋体"/>
          <w:sz w:val="28"/>
          <w:szCs w:val="21"/>
        </w:rPr>
        <w:t>所示。根据所提供的执行单元内部接线图，建立信号表。</w:t>
      </w:r>
    </w:p>
    <w:p>
      <w:pPr>
        <w:keepNext/>
        <w:widowControl/>
        <w:spacing w:before="120"/>
        <w:jc w:val="center"/>
        <w:rPr>
          <w:rFonts w:ascii="Arial Narrow" w:hAnsi="仿宋" w:eastAsia="仿宋_GB2312" w:cs="宋体"/>
          <w:sz w:val="24"/>
          <w:szCs w:val="21"/>
        </w:rPr>
      </w:pPr>
      <w:bookmarkStart w:id="3" w:name="_Ref514519425"/>
      <w:r>
        <w:rPr>
          <w:rFonts w:hint="eastAsia" w:ascii="Arial Narrow" w:hAnsi="仿宋" w:eastAsia="仿宋_GB2312" w:cs="宋体"/>
          <w:sz w:val="24"/>
          <w:szCs w:val="21"/>
        </w:rPr>
        <w:t>表</w:t>
      </w:r>
      <w:bookmarkEnd w:id="3"/>
      <w:r>
        <w:rPr>
          <w:rFonts w:ascii="Arial Narrow" w:hAnsi="仿宋" w:eastAsia="仿宋_GB2312" w:cs="宋体"/>
          <w:sz w:val="24"/>
          <w:szCs w:val="21"/>
        </w:rPr>
        <w:t>3  DSQC 652</w:t>
      </w:r>
      <w:r>
        <w:rPr>
          <w:rFonts w:hint="eastAsia" w:ascii="Arial Narrow" w:hAnsi="仿宋" w:eastAsia="仿宋_GB2312" w:cs="宋体"/>
          <w:sz w:val="24"/>
          <w:szCs w:val="21"/>
        </w:rPr>
        <w:t>模块参数</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2268"/>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序号</w:t>
            </w:r>
          </w:p>
        </w:tc>
        <w:tc>
          <w:tcPr>
            <w:tcW w:w="2268"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参数项</w:t>
            </w:r>
          </w:p>
        </w:tc>
        <w:tc>
          <w:tcPr>
            <w:tcW w:w="1701"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ascii="仿宋" w:hAnsi="仿宋" w:eastAsia="仿宋_GB2312"/>
                <w:kern w:val="0"/>
                <w:sz w:val="24"/>
                <w:szCs w:val="20"/>
              </w:rPr>
              <w:t>1</w:t>
            </w:r>
          </w:p>
        </w:tc>
        <w:tc>
          <w:tcPr>
            <w:tcW w:w="2268"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地址（</w:t>
            </w:r>
            <w:r>
              <w:rPr>
                <w:rFonts w:ascii="仿宋" w:hAnsi="仿宋" w:eastAsia="仿宋_GB2312"/>
                <w:kern w:val="0"/>
                <w:sz w:val="24"/>
                <w:szCs w:val="20"/>
              </w:rPr>
              <w:t>Address</w:t>
            </w:r>
            <w:r>
              <w:rPr>
                <w:rFonts w:hint="eastAsia" w:ascii="仿宋" w:hAnsi="仿宋" w:eastAsia="仿宋_GB2312"/>
                <w:kern w:val="0"/>
                <w:sz w:val="24"/>
                <w:szCs w:val="20"/>
              </w:rPr>
              <w:t>）</w:t>
            </w:r>
          </w:p>
        </w:tc>
        <w:tc>
          <w:tcPr>
            <w:tcW w:w="1701" w:type="dxa"/>
            <w:vAlign w:val="center"/>
          </w:tcPr>
          <w:p>
            <w:pPr>
              <w:jc w:val="center"/>
              <w:rPr>
                <w:rFonts w:ascii="仿宋" w:hAnsi="仿宋" w:eastAsia="仿宋_GB2312"/>
                <w:kern w:val="0"/>
                <w:sz w:val="24"/>
                <w:szCs w:val="20"/>
              </w:rPr>
            </w:pPr>
            <w:r>
              <w:rPr>
                <w:rFonts w:ascii="仿宋" w:hAnsi="仿宋" w:eastAsia="仿宋_GB2312"/>
                <w:kern w:val="0"/>
                <w:sz w:val="24"/>
                <w:szCs w:val="20"/>
              </w:rPr>
              <w:t>10</w:t>
            </w:r>
          </w:p>
        </w:tc>
      </w:tr>
    </w:tbl>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对工业机器人示教器进行操作，在“</w:t>
      </w:r>
      <w:r>
        <w:rPr>
          <w:rFonts w:ascii="仿宋" w:hAnsi="仿宋" w:eastAsia="仿宋_GB2312" w:cs="宋体"/>
          <w:sz w:val="28"/>
          <w:szCs w:val="21"/>
        </w:rPr>
        <w:t>DeviceNet Device</w:t>
      </w:r>
      <w:r>
        <w:rPr>
          <w:rFonts w:hint="eastAsia" w:ascii="仿宋" w:hAnsi="仿宋" w:eastAsia="仿宋_GB2312" w:cs="宋体"/>
          <w:sz w:val="28"/>
          <w:szCs w:val="21"/>
        </w:rPr>
        <w:t>”中添加工业机器人的扩展</w:t>
      </w:r>
      <w:r>
        <w:rPr>
          <w:rFonts w:ascii="仿宋" w:hAnsi="仿宋" w:eastAsia="仿宋_GB2312" w:cs="宋体"/>
          <w:sz w:val="28"/>
          <w:szCs w:val="21"/>
        </w:rPr>
        <w:t>IO</w:t>
      </w:r>
      <w:r>
        <w:rPr>
          <w:rFonts w:hint="eastAsia" w:ascii="仿宋" w:hAnsi="仿宋" w:eastAsia="仿宋_GB2312" w:cs="宋体"/>
          <w:sz w:val="28"/>
          <w:szCs w:val="21"/>
        </w:rPr>
        <w:t>模块，其模块参数如表4所示。根据所提供的执行单元内部接线图，建立信号表。</w:t>
      </w:r>
    </w:p>
    <w:p>
      <w:pPr>
        <w:keepNext/>
        <w:widowControl/>
        <w:spacing w:before="120"/>
        <w:jc w:val="center"/>
        <w:rPr>
          <w:rFonts w:ascii="Arial Narrow" w:hAnsi="Arial Narrow" w:eastAsia="仿宋_GB2312" w:cs="宋体"/>
          <w:sz w:val="24"/>
          <w:szCs w:val="21"/>
        </w:rPr>
      </w:pPr>
      <w:bookmarkStart w:id="4" w:name="_Ref514525183"/>
      <w:r>
        <w:rPr>
          <w:rFonts w:hint="eastAsia" w:ascii="Arial Narrow" w:hAnsi="仿宋" w:eastAsia="仿宋_GB2312" w:cs="宋体"/>
          <w:sz w:val="24"/>
          <w:szCs w:val="21"/>
        </w:rPr>
        <w:t>表</w:t>
      </w:r>
      <w:bookmarkEnd w:id="4"/>
      <w:r>
        <w:rPr>
          <w:rFonts w:hint="eastAsia" w:ascii="Arial Narrow" w:hAnsi="Arial Narrow" w:eastAsia="仿宋_GB2312" w:cs="宋体"/>
          <w:sz w:val="24"/>
          <w:szCs w:val="21"/>
        </w:rPr>
        <w:t>4</w:t>
      </w:r>
      <w:r>
        <w:rPr>
          <w:rFonts w:ascii="Arial Narrow" w:hAnsi="Arial Narrow" w:eastAsia="仿宋_GB2312" w:cs="宋体"/>
          <w:sz w:val="24"/>
          <w:szCs w:val="21"/>
        </w:rPr>
        <w:t xml:space="preserve"> </w:t>
      </w:r>
      <w:r>
        <w:rPr>
          <w:rFonts w:hint="eastAsia" w:ascii="Arial Narrow" w:hAnsi="仿宋" w:eastAsia="仿宋_GB2312" w:cs="宋体"/>
          <w:sz w:val="24"/>
          <w:szCs w:val="21"/>
        </w:rPr>
        <w:t>扩展</w:t>
      </w:r>
      <w:r>
        <w:rPr>
          <w:rFonts w:ascii="Arial Narrow" w:hAnsi="Arial Narrow" w:eastAsia="仿宋_GB2312" w:cs="宋体"/>
          <w:sz w:val="24"/>
          <w:szCs w:val="21"/>
        </w:rPr>
        <w:t>IO</w:t>
      </w:r>
      <w:r>
        <w:rPr>
          <w:rFonts w:hint="eastAsia" w:ascii="Arial Narrow" w:hAnsi="仿宋" w:eastAsia="仿宋_GB2312" w:cs="宋体"/>
          <w:sz w:val="24"/>
          <w:szCs w:val="21"/>
        </w:rPr>
        <w:t>模块参数</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3969"/>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序号</w:t>
            </w:r>
          </w:p>
        </w:tc>
        <w:tc>
          <w:tcPr>
            <w:tcW w:w="3969"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参数项</w:t>
            </w:r>
          </w:p>
        </w:tc>
        <w:tc>
          <w:tcPr>
            <w:tcW w:w="1701"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ascii="仿宋" w:hAnsi="仿宋" w:eastAsia="仿宋_GB2312"/>
                <w:kern w:val="0"/>
                <w:sz w:val="24"/>
                <w:szCs w:val="20"/>
              </w:rPr>
              <w:t>1</w:t>
            </w:r>
          </w:p>
        </w:tc>
        <w:tc>
          <w:tcPr>
            <w:tcW w:w="3969"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地址（</w:t>
            </w:r>
            <w:r>
              <w:rPr>
                <w:rFonts w:ascii="仿宋" w:hAnsi="仿宋" w:eastAsia="仿宋_GB2312"/>
                <w:kern w:val="0"/>
                <w:sz w:val="24"/>
                <w:szCs w:val="20"/>
              </w:rPr>
              <w:t>Address</w:t>
            </w:r>
            <w:r>
              <w:rPr>
                <w:rFonts w:hint="eastAsia" w:ascii="仿宋" w:hAnsi="仿宋" w:eastAsia="仿宋_GB2312"/>
                <w:kern w:val="0"/>
                <w:sz w:val="24"/>
                <w:szCs w:val="20"/>
              </w:rPr>
              <w:t>）</w:t>
            </w:r>
          </w:p>
        </w:tc>
        <w:tc>
          <w:tcPr>
            <w:tcW w:w="1701" w:type="dxa"/>
            <w:vAlign w:val="center"/>
          </w:tcPr>
          <w:p>
            <w:pPr>
              <w:jc w:val="center"/>
              <w:rPr>
                <w:rFonts w:ascii="仿宋" w:hAnsi="仿宋" w:eastAsia="仿宋_GB2312"/>
                <w:kern w:val="0"/>
                <w:sz w:val="24"/>
                <w:szCs w:val="20"/>
              </w:rPr>
            </w:pPr>
            <w:r>
              <w:rPr>
                <w:rFonts w:ascii="仿宋" w:hAnsi="仿宋" w:eastAsia="仿宋_GB2312"/>
                <w:kern w:val="0"/>
                <w:sz w:val="24"/>
                <w:szCs w:val="20"/>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ascii="仿宋" w:hAnsi="仿宋" w:eastAsia="仿宋_GB2312"/>
                <w:kern w:val="0"/>
                <w:sz w:val="24"/>
                <w:szCs w:val="20"/>
              </w:rPr>
              <w:t>2</w:t>
            </w:r>
          </w:p>
        </w:tc>
        <w:tc>
          <w:tcPr>
            <w:tcW w:w="3969"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设备代码（</w:t>
            </w:r>
            <w:r>
              <w:rPr>
                <w:rFonts w:ascii="仿宋" w:hAnsi="仿宋" w:eastAsia="仿宋_GB2312"/>
                <w:kern w:val="0"/>
                <w:sz w:val="24"/>
                <w:szCs w:val="20"/>
              </w:rPr>
              <w:t>Vendor ID</w:t>
            </w:r>
            <w:r>
              <w:rPr>
                <w:rFonts w:hint="eastAsia" w:ascii="仿宋" w:hAnsi="仿宋" w:eastAsia="仿宋_GB2312"/>
                <w:kern w:val="0"/>
                <w:sz w:val="24"/>
                <w:szCs w:val="20"/>
              </w:rPr>
              <w:t>）</w:t>
            </w:r>
          </w:p>
        </w:tc>
        <w:tc>
          <w:tcPr>
            <w:tcW w:w="1701" w:type="dxa"/>
            <w:vAlign w:val="center"/>
          </w:tcPr>
          <w:p>
            <w:pPr>
              <w:jc w:val="center"/>
              <w:rPr>
                <w:rFonts w:ascii="仿宋" w:hAnsi="仿宋" w:eastAsia="仿宋_GB2312"/>
                <w:kern w:val="0"/>
                <w:sz w:val="24"/>
                <w:szCs w:val="20"/>
              </w:rPr>
            </w:pPr>
            <w:r>
              <w:rPr>
                <w:rFonts w:ascii="仿宋" w:hAnsi="仿宋" w:eastAsia="仿宋_GB2312"/>
                <w:kern w:val="0"/>
                <w:sz w:val="24"/>
                <w:szCs w:val="20"/>
              </w:rPr>
              <w:t>9999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ascii="仿宋" w:hAnsi="仿宋" w:eastAsia="仿宋_GB2312"/>
                <w:kern w:val="0"/>
                <w:sz w:val="24"/>
                <w:szCs w:val="20"/>
              </w:rPr>
              <w:t>3</w:t>
            </w:r>
          </w:p>
        </w:tc>
        <w:tc>
          <w:tcPr>
            <w:tcW w:w="3969"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产品代码（</w:t>
            </w:r>
            <w:r>
              <w:rPr>
                <w:rFonts w:ascii="仿宋" w:hAnsi="仿宋" w:eastAsia="仿宋_GB2312"/>
                <w:kern w:val="0"/>
                <w:sz w:val="24"/>
                <w:szCs w:val="20"/>
              </w:rPr>
              <w:t>Product Code</w:t>
            </w:r>
            <w:r>
              <w:rPr>
                <w:rFonts w:hint="eastAsia" w:ascii="仿宋" w:hAnsi="仿宋" w:eastAsia="仿宋_GB2312"/>
                <w:kern w:val="0"/>
                <w:sz w:val="24"/>
                <w:szCs w:val="20"/>
              </w:rPr>
              <w:t>）</w:t>
            </w:r>
          </w:p>
        </w:tc>
        <w:tc>
          <w:tcPr>
            <w:tcW w:w="1701" w:type="dxa"/>
            <w:vAlign w:val="center"/>
          </w:tcPr>
          <w:p>
            <w:pPr>
              <w:jc w:val="center"/>
              <w:rPr>
                <w:rFonts w:ascii="仿宋" w:hAnsi="仿宋" w:eastAsia="仿宋_GB2312"/>
                <w:kern w:val="0"/>
                <w:sz w:val="24"/>
                <w:szCs w:val="20"/>
              </w:rPr>
            </w:pPr>
            <w:r>
              <w:rPr>
                <w:rFonts w:ascii="仿宋" w:hAnsi="仿宋" w:eastAsia="仿宋_GB2312"/>
                <w:kern w:val="0"/>
                <w:sz w:val="24"/>
                <w:szCs w:val="20"/>
              </w:rPr>
              <w:t>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ascii="仿宋" w:hAnsi="仿宋" w:eastAsia="仿宋_GB2312"/>
                <w:kern w:val="0"/>
                <w:sz w:val="24"/>
                <w:szCs w:val="20"/>
              </w:rPr>
              <w:t>4</w:t>
            </w:r>
          </w:p>
        </w:tc>
        <w:tc>
          <w:tcPr>
            <w:tcW w:w="3969"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设备类型（</w:t>
            </w:r>
            <w:r>
              <w:rPr>
                <w:rFonts w:ascii="仿宋" w:hAnsi="仿宋" w:eastAsia="仿宋_GB2312"/>
                <w:kern w:val="0"/>
                <w:sz w:val="24"/>
                <w:szCs w:val="20"/>
              </w:rPr>
              <w:t>Device Type</w:t>
            </w:r>
            <w:r>
              <w:rPr>
                <w:rFonts w:hint="eastAsia" w:ascii="仿宋" w:hAnsi="仿宋" w:eastAsia="仿宋_GB2312"/>
                <w:kern w:val="0"/>
                <w:sz w:val="24"/>
                <w:szCs w:val="20"/>
              </w:rPr>
              <w:t>）</w:t>
            </w:r>
          </w:p>
        </w:tc>
        <w:tc>
          <w:tcPr>
            <w:tcW w:w="1701" w:type="dxa"/>
            <w:vAlign w:val="center"/>
          </w:tcPr>
          <w:p>
            <w:pPr>
              <w:jc w:val="center"/>
              <w:rPr>
                <w:rFonts w:ascii="仿宋" w:hAnsi="仿宋" w:eastAsia="仿宋_GB2312"/>
                <w:kern w:val="0"/>
                <w:sz w:val="24"/>
                <w:szCs w:val="20"/>
              </w:rPr>
            </w:pPr>
            <w:r>
              <w:rPr>
                <w:rFonts w:ascii="仿宋" w:hAnsi="仿宋" w:eastAsia="仿宋_GB2312"/>
                <w:kern w:val="0"/>
                <w:sz w:val="24"/>
                <w:szCs w:val="20"/>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ascii="仿宋" w:hAnsi="仿宋" w:eastAsia="仿宋_GB2312"/>
                <w:kern w:val="0"/>
                <w:sz w:val="24"/>
                <w:szCs w:val="20"/>
              </w:rPr>
              <w:t>5</w:t>
            </w:r>
          </w:p>
        </w:tc>
        <w:tc>
          <w:tcPr>
            <w:tcW w:w="3969"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通讯类型（</w:t>
            </w:r>
            <w:r>
              <w:rPr>
                <w:rFonts w:ascii="仿宋" w:hAnsi="仿宋" w:eastAsia="仿宋_GB2312"/>
                <w:kern w:val="0"/>
                <w:sz w:val="24"/>
                <w:szCs w:val="20"/>
              </w:rPr>
              <w:t>Connection Type</w:t>
            </w:r>
            <w:r>
              <w:rPr>
                <w:rFonts w:hint="eastAsia" w:ascii="仿宋" w:hAnsi="仿宋" w:eastAsia="仿宋_GB2312"/>
                <w:kern w:val="0"/>
                <w:sz w:val="24"/>
                <w:szCs w:val="20"/>
              </w:rPr>
              <w:t>）</w:t>
            </w:r>
          </w:p>
        </w:tc>
        <w:tc>
          <w:tcPr>
            <w:tcW w:w="1701" w:type="dxa"/>
            <w:vAlign w:val="center"/>
          </w:tcPr>
          <w:p>
            <w:pPr>
              <w:jc w:val="center"/>
              <w:rPr>
                <w:rFonts w:ascii="仿宋" w:hAnsi="仿宋" w:eastAsia="仿宋_GB2312"/>
                <w:kern w:val="0"/>
                <w:sz w:val="24"/>
                <w:szCs w:val="20"/>
              </w:rPr>
            </w:pPr>
            <w:r>
              <w:rPr>
                <w:rFonts w:ascii="仿宋" w:hAnsi="仿宋" w:eastAsia="仿宋_GB2312"/>
                <w:kern w:val="0"/>
                <w:sz w:val="24"/>
                <w:szCs w:val="20"/>
              </w:rPr>
              <w:t>Polled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ascii="仿宋" w:hAnsi="仿宋" w:eastAsia="仿宋_GB2312"/>
                <w:kern w:val="0"/>
                <w:sz w:val="24"/>
                <w:szCs w:val="20"/>
              </w:rPr>
              <w:t>6</w:t>
            </w:r>
          </w:p>
        </w:tc>
        <w:tc>
          <w:tcPr>
            <w:tcW w:w="3969"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输出长度（</w:t>
            </w:r>
            <w:r>
              <w:rPr>
                <w:rFonts w:ascii="仿宋" w:hAnsi="仿宋" w:eastAsia="仿宋_GB2312"/>
                <w:kern w:val="0"/>
                <w:sz w:val="24"/>
                <w:szCs w:val="20"/>
              </w:rPr>
              <w:t>Connection Output Size</w:t>
            </w:r>
            <w:r>
              <w:rPr>
                <w:rFonts w:hint="eastAsia" w:ascii="仿宋" w:hAnsi="仿宋" w:eastAsia="仿宋_GB2312"/>
                <w:kern w:val="0"/>
                <w:sz w:val="24"/>
                <w:szCs w:val="20"/>
              </w:rPr>
              <w:t>）</w:t>
            </w:r>
          </w:p>
        </w:tc>
        <w:tc>
          <w:tcPr>
            <w:tcW w:w="1701" w:type="dxa"/>
            <w:vAlign w:val="center"/>
          </w:tcPr>
          <w:p>
            <w:pPr>
              <w:jc w:val="center"/>
              <w:rPr>
                <w:rFonts w:ascii="仿宋" w:hAnsi="仿宋" w:eastAsia="仿宋_GB2312"/>
                <w:kern w:val="0"/>
                <w:sz w:val="24"/>
                <w:szCs w:val="20"/>
              </w:rPr>
            </w:pPr>
            <w:r>
              <w:rPr>
                <w:rFonts w:ascii="仿宋" w:hAnsi="仿宋" w:eastAsia="仿宋_GB2312"/>
                <w:kern w:val="0"/>
                <w:sz w:val="24"/>
                <w:szCs w:val="20"/>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ascii="仿宋" w:hAnsi="仿宋" w:eastAsia="仿宋_GB2312"/>
                <w:kern w:val="0"/>
                <w:sz w:val="24"/>
                <w:szCs w:val="20"/>
              </w:rPr>
              <w:t>7</w:t>
            </w:r>
          </w:p>
        </w:tc>
        <w:tc>
          <w:tcPr>
            <w:tcW w:w="3969"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输入长度（</w:t>
            </w:r>
            <w:r>
              <w:rPr>
                <w:rFonts w:ascii="仿宋" w:hAnsi="仿宋" w:eastAsia="仿宋_GB2312"/>
                <w:kern w:val="0"/>
                <w:sz w:val="24"/>
                <w:szCs w:val="20"/>
              </w:rPr>
              <w:t>Connection Input Size</w:t>
            </w:r>
            <w:r>
              <w:rPr>
                <w:rFonts w:hint="eastAsia" w:ascii="仿宋" w:hAnsi="仿宋" w:eastAsia="仿宋_GB2312"/>
                <w:kern w:val="0"/>
                <w:sz w:val="24"/>
                <w:szCs w:val="20"/>
              </w:rPr>
              <w:t>）</w:t>
            </w:r>
          </w:p>
        </w:tc>
        <w:tc>
          <w:tcPr>
            <w:tcW w:w="1701" w:type="dxa"/>
            <w:vAlign w:val="center"/>
          </w:tcPr>
          <w:p>
            <w:pPr>
              <w:jc w:val="center"/>
              <w:rPr>
                <w:rFonts w:ascii="仿宋" w:hAnsi="仿宋" w:eastAsia="仿宋_GB2312"/>
                <w:kern w:val="0"/>
                <w:sz w:val="24"/>
                <w:szCs w:val="20"/>
              </w:rPr>
            </w:pPr>
            <w:r>
              <w:rPr>
                <w:rFonts w:ascii="仿宋" w:hAnsi="仿宋" w:eastAsia="仿宋_GB2312"/>
                <w:kern w:val="0"/>
                <w:sz w:val="24"/>
                <w:szCs w:val="20"/>
              </w:rPr>
              <w:t>2</w:t>
            </w:r>
          </w:p>
        </w:tc>
      </w:tr>
    </w:tbl>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3</w:t>
      </w:r>
      <w:r>
        <w:rPr>
          <w:rFonts w:hint="eastAsia" w:ascii="仿宋" w:hAnsi="仿宋" w:eastAsia="仿宋_GB2312" w:cs="宋体"/>
          <w:sz w:val="28"/>
          <w:szCs w:val="21"/>
        </w:rPr>
        <w:t>）智能视觉通讯设置</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根据控制系统方案设计结果，对智能视觉通讯端口和与其完成通讯的控制设备网络端口进行设置，使其可以建立正常通信并实现信号交互。</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4</w:t>
      </w:r>
      <w:r>
        <w:rPr>
          <w:rFonts w:hint="eastAsia" w:ascii="仿宋" w:hAnsi="仿宋" w:eastAsia="仿宋_GB2312" w:cs="宋体"/>
          <w:sz w:val="28"/>
          <w:szCs w:val="21"/>
        </w:rPr>
        <w:t>）</w:t>
      </w:r>
      <w:r>
        <w:rPr>
          <w:rFonts w:ascii="仿宋" w:hAnsi="仿宋" w:eastAsia="仿宋_GB2312" w:cs="宋体"/>
          <w:sz w:val="28"/>
          <w:szCs w:val="21"/>
        </w:rPr>
        <w:t>WinCC</w:t>
      </w:r>
      <w:r>
        <w:rPr>
          <w:rFonts w:hint="eastAsia" w:ascii="仿宋" w:hAnsi="仿宋" w:eastAsia="仿宋_GB2312" w:cs="宋体"/>
          <w:sz w:val="28"/>
          <w:szCs w:val="21"/>
        </w:rPr>
        <w:t>组态设置</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根据控制系统方案设计结果，在</w:t>
      </w:r>
      <w:r>
        <w:rPr>
          <w:rFonts w:ascii="仿宋" w:hAnsi="仿宋" w:eastAsia="仿宋_GB2312" w:cs="宋体"/>
          <w:sz w:val="28"/>
          <w:szCs w:val="21"/>
        </w:rPr>
        <w:t>TIA</w:t>
      </w:r>
      <w:r>
        <w:rPr>
          <w:rFonts w:hint="eastAsia" w:ascii="仿宋" w:hAnsi="仿宋" w:eastAsia="仿宋_GB2312" w:cs="宋体"/>
          <w:sz w:val="28"/>
          <w:szCs w:val="21"/>
        </w:rPr>
        <w:t>编程软件中建立</w:t>
      </w:r>
      <w:r>
        <w:rPr>
          <w:rFonts w:ascii="仿宋" w:hAnsi="仿宋" w:eastAsia="仿宋_GB2312" w:cs="宋体"/>
          <w:sz w:val="28"/>
          <w:szCs w:val="21"/>
        </w:rPr>
        <w:t>WinCC</w:t>
      </w:r>
      <w:r>
        <w:rPr>
          <w:rFonts w:hint="eastAsia" w:ascii="仿宋" w:hAnsi="仿宋" w:eastAsia="仿宋_GB2312" w:cs="宋体"/>
          <w:sz w:val="28"/>
          <w:szCs w:val="21"/>
        </w:rPr>
        <w:t>工程项目，并使其与总控单元</w:t>
      </w:r>
      <w:r>
        <w:rPr>
          <w:rFonts w:ascii="仿宋" w:hAnsi="仿宋" w:eastAsia="仿宋_GB2312" w:cs="宋体"/>
          <w:sz w:val="28"/>
          <w:szCs w:val="21"/>
        </w:rPr>
        <w:t>PLC</w:t>
      </w:r>
      <w:r>
        <w:rPr>
          <w:rFonts w:hint="eastAsia" w:ascii="仿宋" w:hAnsi="仿宋" w:eastAsia="仿宋_GB2312" w:cs="宋体"/>
          <w:sz w:val="28"/>
          <w:szCs w:val="21"/>
        </w:rPr>
        <w:t>建立正常通讯并实现信号交互。对数控系统的网络通信端口进行设置，并在</w:t>
      </w:r>
      <w:r>
        <w:rPr>
          <w:rFonts w:ascii="仿宋" w:hAnsi="仿宋" w:eastAsia="仿宋_GB2312" w:cs="宋体"/>
          <w:sz w:val="28"/>
          <w:szCs w:val="21"/>
        </w:rPr>
        <w:t>TIA</w:t>
      </w:r>
      <w:r>
        <w:rPr>
          <w:rFonts w:hint="eastAsia" w:ascii="仿宋" w:hAnsi="仿宋" w:eastAsia="仿宋_GB2312" w:cs="宋体"/>
          <w:sz w:val="28"/>
          <w:szCs w:val="21"/>
        </w:rPr>
        <w:t>编程软件中对</w:t>
      </w:r>
      <w:r>
        <w:rPr>
          <w:rFonts w:ascii="仿宋" w:hAnsi="仿宋" w:eastAsia="仿宋_GB2312" w:cs="宋体"/>
          <w:sz w:val="28"/>
          <w:szCs w:val="21"/>
        </w:rPr>
        <w:t>WinCC</w:t>
      </w:r>
      <w:r>
        <w:rPr>
          <w:rFonts w:hint="eastAsia" w:ascii="仿宋" w:hAnsi="仿宋" w:eastAsia="仿宋_GB2312" w:cs="宋体"/>
          <w:sz w:val="28"/>
          <w:szCs w:val="21"/>
        </w:rPr>
        <w:t>工程项目进行通讯设置，使数控系统和</w:t>
      </w:r>
      <w:r>
        <w:rPr>
          <w:rFonts w:ascii="仿宋" w:hAnsi="仿宋" w:eastAsia="仿宋_GB2312" w:cs="宋体"/>
          <w:sz w:val="28"/>
          <w:szCs w:val="21"/>
        </w:rPr>
        <w:t>WinCC</w:t>
      </w:r>
      <w:r>
        <w:rPr>
          <w:rFonts w:hint="eastAsia" w:ascii="仿宋" w:hAnsi="仿宋" w:eastAsia="仿宋_GB2312" w:cs="宋体"/>
          <w:sz w:val="28"/>
          <w:szCs w:val="21"/>
        </w:rPr>
        <w:t>建立通讯连接并可在线设置交互信号。</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2.</w:t>
      </w:r>
      <w:r>
        <w:rPr>
          <w:rFonts w:hint="eastAsia" w:ascii="仿宋" w:hAnsi="仿宋" w:eastAsia="仿宋_GB2312" w:cs="宋体"/>
          <w:b/>
          <w:bCs/>
          <w:sz w:val="28"/>
          <w:szCs w:val="21"/>
        </w:rPr>
        <w:t>执行单元和工具单元智能化改造</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1</w:t>
      </w:r>
      <w:r>
        <w:rPr>
          <w:rFonts w:hint="eastAsia" w:ascii="仿宋" w:hAnsi="仿宋" w:eastAsia="仿宋_GB2312" w:cs="宋体"/>
          <w:sz w:val="28"/>
          <w:szCs w:val="21"/>
        </w:rPr>
        <w:t>）工业机器人安全姿态设定</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对工业机器人操作与编程，确定工业机器人本体的安全姿态，此姿态下工业机器人本体不会与周边设备发生碰撞。当执行单元平移滑台运行时，工业机器人本体必须保持此姿态，不得同时动作。工业机器人安全姿态各轴设定参数要求如下表5。</w:t>
      </w:r>
    </w:p>
    <w:p>
      <w:pPr>
        <w:keepNext/>
        <w:widowControl/>
        <w:spacing w:before="120"/>
        <w:jc w:val="center"/>
        <w:rPr>
          <w:rFonts w:ascii="Arial Narrow" w:hAnsi="仿宋" w:eastAsia="仿宋_GB2312" w:cs="宋体"/>
          <w:sz w:val="24"/>
          <w:szCs w:val="21"/>
        </w:rPr>
      </w:pPr>
      <w:r>
        <w:rPr>
          <w:rFonts w:hint="eastAsia" w:ascii="Arial Narrow" w:hAnsi="仿宋" w:eastAsia="仿宋_GB2312" w:cs="宋体"/>
          <w:sz w:val="24"/>
          <w:szCs w:val="21"/>
        </w:rPr>
        <w:t>表5 工业机器人安全姿态各轴设定参数</w:t>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9"/>
        <w:gridCol w:w="1229"/>
        <w:gridCol w:w="1230"/>
        <w:gridCol w:w="1230"/>
        <w:gridCol w:w="1230"/>
        <w:gridCol w:w="1230"/>
        <w:gridCol w:w="12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9" w:type="dxa"/>
            <w:vAlign w:val="center"/>
          </w:tcPr>
          <w:p>
            <w:pPr>
              <w:spacing w:line="560" w:lineRule="exact"/>
              <w:jc w:val="center"/>
              <w:rPr>
                <w:rFonts w:ascii="仿宋" w:hAnsi="仿宋" w:eastAsia="仿宋_GB2312" w:cs="宋体"/>
                <w:kern w:val="0"/>
                <w:sz w:val="28"/>
                <w:szCs w:val="21"/>
              </w:rPr>
            </w:pPr>
            <w:r>
              <w:rPr>
                <w:rFonts w:hint="eastAsia" w:ascii="仿宋" w:hAnsi="仿宋" w:eastAsia="仿宋_GB2312" w:cs="宋体"/>
                <w:kern w:val="0"/>
                <w:sz w:val="28"/>
                <w:szCs w:val="21"/>
              </w:rPr>
              <w:t>轴</w:t>
            </w:r>
          </w:p>
        </w:tc>
        <w:tc>
          <w:tcPr>
            <w:tcW w:w="1229" w:type="dxa"/>
            <w:vAlign w:val="center"/>
          </w:tcPr>
          <w:p>
            <w:pPr>
              <w:spacing w:line="560" w:lineRule="exact"/>
              <w:jc w:val="center"/>
              <w:rPr>
                <w:rFonts w:ascii="仿宋" w:hAnsi="仿宋" w:eastAsia="仿宋_GB2312" w:cs="宋体"/>
                <w:kern w:val="0"/>
                <w:sz w:val="28"/>
                <w:szCs w:val="21"/>
              </w:rPr>
            </w:pPr>
            <w:r>
              <w:rPr>
                <w:rFonts w:hint="eastAsia" w:ascii="仿宋" w:hAnsi="仿宋" w:eastAsia="仿宋_GB2312" w:cs="宋体"/>
                <w:kern w:val="0"/>
                <w:sz w:val="28"/>
                <w:szCs w:val="21"/>
              </w:rPr>
              <w:t>1轴</w:t>
            </w:r>
          </w:p>
        </w:tc>
        <w:tc>
          <w:tcPr>
            <w:tcW w:w="1230" w:type="dxa"/>
            <w:vAlign w:val="center"/>
          </w:tcPr>
          <w:p>
            <w:pPr>
              <w:spacing w:line="560" w:lineRule="exact"/>
              <w:jc w:val="center"/>
              <w:rPr>
                <w:rFonts w:ascii="仿宋" w:hAnsi="仿宋" w:eastAsia="仿宋_GB2312" w:cs="宋体"/>
                <w:kern w:val="0"/>
                <w:sz w:val="28"/>
                <w:szCs w:val="21"/>
              </w:rPr>
            </w:pPr>
            <w:r>
              <w:rPr>
                <w:rFonts w:hint="eastAsia" w:ascii="仿宋" w:hAnsi="仿宋" w:eastAsia="仿宋_GB2312" w:cs="宋体"/>
                <w:kern w:val="0"/>
                <w:sz w:val="28"/>
                <w:szCs w:val="21"/>
              </w:rPr>
              <w:t>2轴</w:t>
            </w:r>
          </w:p>
        </w:tc>
        <w:tc>
          <w:tcPr>
            <w:tcW w:w="1230" w:type="dxa"/>
            <w:vAlign w:val="center"/>
          </w:tcPr>
          <w:p>
            <w:pPr>
              <w:spacing w:line="560" w:lineRule="exact"/>
              <w:jc w:val="center"/>
              <w:rPr>
                <w:rFonts w:ascii="仿宋" w:hAnsi="仿宋" w:eastAsia="仿宋_GB2312" w:cs="宋体"/>
                <w:kern w:val="0"/>
                <w:sz w:val="28"/>
                <w:szCs w:val="21"/>
              </w:rPr>
            </w:pPr>
            <w:r>
              <w:rPr>
                <w:rFonts w:hint="eastAsia" w:ascii="仿宋" w:hAnsi="仿宋" w:eastAsia="仿宋_GB2312" w:cs="宋体"/>
                <w:kern w:val="0"/>
                <w:sz w:val="28"/>
                <w:szCs w:val="21"/>
              </w:rPr>
              <w:t>3轴</w:t>
            </w:r>
          </w:p>
        </w:tc>
        <w:tc>
          <w:tcPr>
            <w:tcW w:w="1230" w:type="dxa"/>
            <w:vAlign w:val="center"/>
          </w:tcPr>
          <w:p>
            <w:pPr>
              <w:spacing w:line="560" w:lineRule="exact"/>
              <w:jc w:val="center"/>
              <w:rPr>
                <w:rFonts w:ascii="仿宋" w:hAnsi="仿宋" w:eastAsia="仿宋_GB2312" w:cs="宋体"/>
                <w:kern w:val="0"/>
                <w:sz w:val="28"/>
                <w:szCs w:val="21"/>
              </w:rPr>
            </w:pPr>
            <w:r>
              <w:rPr>
                <w:rFonts w:hint="eastAsia" w:ascii="仿宋" w:hAnsi="仿宋" w:eastAsia="仿宋_GB2312" w:cs="宋体"/>
                <w:kern w:val="0"/>
                <w:sz w:val="28"/>
                <w:szCs w:val="21"/>
              </w:rPr>
              <w:t>4轴</w:t>
            </w:r>
          </w:p>
        </w:tc>
        <w:tc>
          <w:tcPr>
            <w:tcW w:w="1230" w:type="dxa"/>
            <w:vAlign w:val="center"/>
          </w:tcPr>
          <w:p>
            <w:pPr>
              <w:spacing w:line="560" w:lineRule="exact"/>
              <w:jc w:val="center"/>
              <w:rPr>
                <w:rFonts w:ascii="仿宋" w:hAnsi="仿宋" w:eastAsia="仿宋_GB2312" w:cs="宋体"/>
                <w:kern w:val="0"/>
                <w:sz w:val="28"/>
                <w:szCs w:val="21"/>
              </w:rPr>
            </w:pPr>
            <w:r>
              <w:rPr>
                <w:rFonts w:hint="eastAsia" w:ascii="仿宋" w:hAnsi="仿宋" w:eastAsia="仿宋_GB2312" w:cs="宋体"/>
                <w:kern w:val="0"/>
                <w:sz w:val="28"/>
                <w:szCs w:val="21"/>
              </w:rPr>
              <w:t>5轴</w:t>
            </w:r>
          </w:p>
        </w:tc>
        <w:tc>
          <w:tcPr>
            <w:tcW w:w="1230" w:type="dxa"/>
            <w:vAlign w:val="center"/>
          </w:tcPr>
          <w:p>
            <w:pPr>
              <w:spacing w:line="560" w:lineRule="exact"/>
              <w:jc w:val="center"/>
              <w:rPr>
                <w:rFonts w:ascii="仿宋" w:hAnsi="仿宋" w:eastAsia="仿宋_GB2312" w:cs="宋体"/>
                <w:kern w:val="0"/>
                <w:sz w:val="28"/>
                <w:szCs w:val="21"/>
              </w:rPr>
            </w:pPr>
            <w:r>
              <w:rPr>
                <w:rFonts w:hint="eastAsia" w:ascii="仿宋" w:hAnsi="仿宋" w:eastAsia="仿宋_GB2312" w:cs="宋体"/>
                <w:kern w:val="0"/>
                <w:sz w:val="28"/>
                <w:szCs w:val="21"/>
              </w:rPr>
              <w:t>6轴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9" w:type="dxa"/>
            <w:vAlign w:val="center"/>
          </w:tcPr>
          <w:p>
            <w:pPr>
              <w:spacing w:line="560" w:lineRule="exact"/>
              <w:jc w:val="center"/>
              <w:rPr>
                <w:rFonts w:ascii="仿宋" w:hAnsi="仿宋" w:eastAsia="仿宋_GB2312" w:cs="宋体"/>
                <w:kern w:val="0"/>
                <w:sz w:val="28"/>
                <w:szCs w:val="21"/>
              </w:rPr>
            </w:pPr>
            <w:r>
              <w:rPr>
                <w:rFonts w:hint="eastAsia" w:ascii="仿宋" w:hAnsi="仿宋" w:eastAsia="仿宋_GB2312" w:cs="宋体"/>
                <w:kern w:val="0"/>
                <w:sz w:val="28"/>
                <w:szCs w:val="21"/>
              </w:rPr>
              <w:t>角度</w:t>
            </w:r>
          </w:p>
        </w:tc>
        <w:tc>
          <w:tcPr>
            <w:tcW w:w="1229" w:type="dxa"/>
            <w:vAlign w:val="center"/>
          </w:tcPr>
          <w:p>
            <w:pPr>
              <w:spacing w:line="560" w:lineRule="exact"/>
              <w:jc w:val="center"/>
              <w:rPr>
                <w:rFonts w:ascii="仿宋" w:hAnsi="仿宋" w:eastAsia="仿宋_GB2312" w:cs="宋体"/>
                <w:kern w:val="0"/>
                <w:sz w:val="28"/>
                <w:szCs w:val="21"/>
              </w:rPr>
            </w:pPr>
            <w:r>
              <w:rPr>
                <w:rFonts w:ascii="仿宋" w:hAnsi="仿宋" w:eastAsia="仿宋_GB2312" w:cs="宋体"/>
                <w:kern w:val="0"/>
                <w:sz w:val="28"/>
                <w:szCs w:val="21"/>
              </w:rPr>
              <w:t>0°</w:t>
            </w:r>
          </w:p>
        </w:tc>
        <w:tc>
          <w:tcPr>
            <w:tcW w:w="1230" w:type="dxa"/>
            <w:vAlign w:val="center"/>
          </w:tcPr>
          <w:p>
            <w:pPr>
              <w:spacing w:line="560" w:lineRule="exact"/>
              <w:jc w:val="center"/>
              <w:rPr>
                <w:rFonts w:ascii="仿宋" w:hAnsi="仿宋" w:eastAsia="仿宋_GB2312" w:cs="宋体"/>
                <w:kern w:val="0"/>
                <w:sz w:val="28"/>
                <w:szCs w:val="21"/>
              </w:rPr>
            </w:pPr>
            <w:r>
              <w:rPr>
                <w:rFonts w:ascii="仿宋" w:hAnsi="仿宋" w:eastAsia="仿宋_GB2312" w:cs="宋体"/>
                <w:kern w:val="0"/>
                <w:sz w:val="28"/>
                <w:szCs w:val="21"/>
              </w:rPr>
              <w:t>-30°</w:t>
            </w:r>
          </w:p>
        </w:tc>
        <w:tc>
          <w:tcPr>
            <w:tcW w:w="1230" w:type="dxa"/>
            <w:vAlign w:val="center"/>
          </w:tcPr>
          <w:p>
            <w:pPr>
              <w:spacing w:line="560" w:lineRule="exact"/>
              <w:jc w:val="center"/>
              <w:rPr>
                <w:rFonts w:ascii="仿宋" w:hAnsi="仿宋" w:eastAsia="仿宋_GB2312" w:cs="宋体"/>
                <w:kern w:val="0"/>
                <w:sz w:val="28"/>
                <w:szCs w:val="21"/>
              </w:rPr>
            </w:pPr>
            <w:r>
              <w:rPr>
                <w:rFonts w:ascii="仿宋" w:hAnsi="仿宋" w:eastAsia="仿宋_GB2312" w:cs="宋体"/>
                <w:kern w:val="0"/>
                <w:sz w:val="28"/>
                <w:szCs w:val="21"/>
              </w:rPr>
              <w:t>30°</w:t>
            </w:r>
          </w:p>
        </w:tc>
        <w:tc>
          <w:tcPr>
            <w:tcW w:w="1230" w:type="dxa"/>
            <w:vAlign w:val="center"/>
          </w:tcPr>
          <w:p>
            <w:pPr>
              <w:spacing w:line="560" w:lineRule="exact"/>
              <w:jc w:val="center"/>
              <w:rPr>
                <w:rFonts w:ascii="仿宋" w:hAnsi="仿宋" w:eastAsia="仿宋_GB2312" w:cs="宋体"/>
                <w:kern w:val="0"/>
                <w:sz w:val="28"/>
                <w:szCs w:val="21"/>
              </w:rPr>
            </w:pPr>
            <w:r>
              <w:rPr>
                <w:rFonts w:ascii="仿宋" w:hAnsi="仿宋" w:eastAsia="仿宋_GB2312" w:cs="宋体"/>
                <w:kern w:val="0"/>
                <w:sz w:val="28"/>
                <w:szCs w:val="21"/>
              </w:rPr>
              <w:t>0°</w:t>
            </w:r>
          </w:p>
        </w:tc>
        <w:tc>
          <w:tcPr>
            <w:tcW w:w="1230" w:type="dxa"/>
            <w:vAlign w:val="center"/>
          </w:tcPr>
          <w:p>
            <w:pPr>
              <w:spacing w:line="560" w:lineRule="exact"/>
              <w:jc w:val="center"/>
              <w:rPr>
                <w:rFonts w:ascii="仿宋" w:hAnsi="仿宋" w:eastAsia="仿宋_GB2312" w:cs="宋体"/>
                <w:kern w:val="0"/>
                <w:sz w:val="28"/>
                <w:szCs w:val="21"/>
              </w:rPr>
            </w:pPr>
            <w:r>
              <w:rPr>
                <w:rFonts w:ascii="仿宋" w:hAnsi="仿宋" w:eastAsia="仿宋_GB2312" w:cs="宋体"/>
                <w:kern w:val="0"/>
                <w:sz w:val="28"/>
                <w:szCs w:val="21"/>
              </w:rPr>
              <w:t>90°</w:t>
            </w:r>
          </w:p>
        </w:tc>
        <w:tc>
          <w:tcPr>
            <w:tcW w:w="1230" w:type="dxa"/>
            <w:vAlign w:val="center"/>
          </w:tcPr>
          <w:p>
            <w:pPr>
              <w:spacing w:line="560" w:lineRule="exact"/>
              <w:jc w:val="center"/>
              <w:rPr>
                <w:rFonts w:ascii="仿宋" w:hAnsi="仿宋" w:eastAsia="仿宋_GB2312" w:cs="宋体"/>
                <w:kern w:val="0"/>
                <w:sz w:val="28"/>
                <w:szCs w:val="21"/>
              </w:rPr>
            </w:pPr>
            <w:r>
              <w:rPr>
                <w:rFonts w:ascii="仿宋" w:hAnsi="仿宋" w:eastAsia="仿宋_GB2312" w:cs="宋体"/>
                <w:kern w:val="0"/>
                <w:sz w:val="28"/>
                <w:szCs w:val="21"/>
              </w:rPr>
              <w:t>0°</w:t>
            </w:r>
          </w:p>
        </w:tc>
      </w:tr>
    </w:tbl>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2</w:t>
      </w:r>
      <w:r>
        <w:rPr>
          <w:rFonts w:hint="eastAsia" w:ascii="仿宋" w:hAnsi="仿宋" w:eastAsia="仿宋_GB2312" w:cs="宋体"/>
          <w:sz w:val="28"/>
          <w:szCs w:val="21"/>
        </w:rPr>
        <w:t>）执行单元平移滑台改造</w:t>
      </w:r>
    </w:p>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fldChar w:fldCharType="begin"/>
      </w:r>
      <w:r>
        <w:rPr>
          <w:rFonts w:ascii="仿宋" w:hAnsi="仿宋" w:eastAsia="仿宋_GB2312" w:cs="宋体"/>
          <w:sz w:val="28"/>
          <w:szCs w:val="21"/>
        </w:rPr>
        <w:instrText xml:space="preserve"> = 1 \* GB3 </w:instrText>
      </w:r>
      <w:r>
        <w:rPr>
          <w:rFonts w:ascii="仿宋" w:hAnsi="仿宋" w:eastAsia="仿宋_GB2312" w:cs="宋体"/>
          <w:sz w:val="28"/>
          <w:szCs w:val="21"/>
        </w:rPr>
        <w:fldChar w:fldCharType="separate"/>
      </w:r>
      <w:r>
        <w:rPr>
          <w:rFonts w:hint="eastAsia" w:ascii="仿宋" w:hAnsi="仿宋" w:eastAsia="仿宋_GB2312" w:cs="宋体"/>
          <w:sz w:val="28"/>
          <w:szCs w:val="21"/>
        </w:rPr>
        <w:t>①</w:t>
      </w:r>
      <w:r>
        <w:rPr>
          <w:rFonts w:ascii="仿宋" w:hAnsi="仿宋" w:eastAsia="仿宋_GB2312" w:cs="宋体"/>
          <w:sz w:val="28"/>
          <w:szCs w:val="21"/>
        </w:rPr>
        <w:fldChar w:fldCharType="end"/>
      </w:r>
      <w:r>
        <w:rPr>
          <w:rFonts w:hint="eastAsia" w:ascii="仿宋" w:hAnsi="仿宋" w:eastAsia="仿宋_GB2312" w:cs="宋体"/>
          <w:sz w:val="28"/>
          <w:szCs w:val="21"/>
        </w:rPr>
        <w:t>对执行单元中的</w:t>
      </w:r>
      <w:r>
        <w:rPr>
          <w:rFonts w:ascii="仿宋" w:hAnsi="仿宋" w:eastAsia="仿宋_GB2312" w:cs="宋体"/>
          <w:sz w:val="28"/>
          <w:szCs w:val="21"/>
        </w:rPr>
        <w:t>PLC</w:t>
      </w:r>
      <w:r>
        <w:rPr>
          <w:rFonts w:hint="eastAsia" w:ascii="仿宋" w:hAnsi="仿宋" w:eastAsia="仿宋_GB2312" w:cs="宋体"/>
          <w:sz w:val="28"/>
          <w:szCs w:val="21"/>
        </w:rPr>
        <w:t>编程，设置</w:t>
      </w:r>
      <w:r>
        <w:rPr>
          <w:rFonts w:ascii="仿宋" w:hAnsi="仿宋" w:eastAsia="仿宋_GB2312" w:cs="宋体"/>
          <w:sz w:val="28"/>
          <w:szCs w:val="21"/>
        </w:rPr>
        <w:t>PLC</w:t>
      </w:r>
      <w:r>
        <w:rPr>
          <w:rFonts w:hint="eastAsia" w:ascii="仿宋" w:hAnsi="仿宋" w:eastAsia="仿宋_GB2312" w:cs="宋体"/>
          <w:sz w:val="28"/>
          <w:szCs w:val="21"/>
        </w:rPr>
        <w:t>对于伺服电机的控制参数，其中伺服电机编码器分辨率为</w:t>
      </w:r>
      <w:r>
        <w:rPr>
          <w:rFonts w:ascii="仿宋" w:hAnsi="仿宋" w:eastAsia="仿宋_GB2312" w:cs="宋体"/>
          <w:sz w:val="28"/>
          <w:szCs w:val="21"/>
        </w:rPr>
        <w:t>131072 pulses/rev</w:t>
      </w:r>
      <w:r>
        <w:rPr>
          <w:rFonts w:hint="eastAsia" w:ascii="仿宋" w:hAnsi="仿宋" w:eastAsia="仿宋_GB2312" w:cs="宋体"/>
          <w:sz w:val="28"/>
          <w:szCs w:val="21"/>
        </w:rPr>
        <w:t>（</w:t>
      </w:r>
      <w:r>
        <w:rPr>
          <w:rFonts w:ascii="仿宋" w:hAnsi="仿宋" w:eastAsia="仿宋_GB2312" w:cs="宋体"/>
          <w:sz w:val="28"/>
          <w:szCs w:val="21"/>
        </w:rPr>
        <w:t>17</w:t>
      </w:r>
      <w:r>
        <w:rPr>
          <w:rFonts w:hint="eastAsia" w:ascii="仿宋" w:hAnsi="仿宋" w:eastAsia="仿宋_GB2312" w:cs="宋体"/>
          <w:sz w:val="28"/>
          <w:szCs w:val="21"/>
        </w:rPr>
        <w:t>线），伺服电机驱动器电子齿轮已设置为</w:t>
      </w:r>
      <w:r>
        <w:rPr>
          <w:rFonts w:ascii="仿宋" w:hAnsi="仿宋" w:eastAsia="仿宋_GB2312" w:cs="宋体"/>
          <w:sz w:val="28"/>
          <w:szCs w:val="21"/>
        </w:rPr>
        <w:t>900:1</w:t>
      </w:r>
      <w:r>
        <w:rPr>
          <w:rFonts w:hint="eastAsia" w:ascii="仿宋" w:hAnsi="仿宋" w:eastAsia="仿宋_GB2312" w:cs="宋体"/>
          <w:sz w:val="28"/>
          <w:szCs w:val="21"/>
        </w:rPr>
        <w:t>，减速机减速比</w:t>
      </w:r>
      <w:r>
        <w:rPr>
          <w:rFonts w:ascii="仿宋" w:hAnsi="仿宋" w:eastAsia="仿宋_GB2312" w:cs="宋体"/>
          <w:sz w:val="28"/>
          <w:szCs w:val="21"/>
        </w:rPr>
        <w:t>3:1</w:t>
      </w:r>
      <w:r>
        <w:rPr>
          <w:rFonts w:hint="eastAsia" w:ascii="仿宋" w:hAnsi="仿宋" w:eastAsia="仿宋_GB2312" w:cs="宋体"/>
          <w:sz w:val="28"/>
          <w:szCs w:val="21"/>
        </w:rPr>
        <w:t>，同步带减速比</w:t>
      </w:r>
      <w:r>
        <w:rPr>
          <w:rFonts w:ascii="仿宋" w:hAnsi="仿宋" w:eastAsia="仿宋_GB2312" w:cs="宋体"/>
          <w:sz w:val="28"/>
          <w:szCs w:val="21"/>
        </w:rPr>
        <w:t>1.5:1</w:t>
      </w:r>
      <w:r>
        <w:rPr>
          <w:rFonts w:hint="eastAsia" w:ascii="仿宋" w:hAnsi="仿宋" w:eastAsia="仿宋_GB2312" w:cs="宋体"/>
          <w:sz w:val="28"/>
          <w:szCs w:val="21"/>
        </w:rPr>
        <w:t>，滚珠丝杠导程</w:t>
      </w:r>
      <w:r>
        <w:rPr>
          <w:rFonts w:ascii="仿宋" w:hAnsi="仿宋" w:eastAsia="仿宋_GB2312" w:cs="宋体"/>
          <w:sz w:val="28"/>
          <w:szCs w:val="21"/>
        </w:rPr>
        <w:t>5mm</w:t>
      </w:r>
      <w:r>
        <w:rPr>
          <w:rFonts w:hint="eastAsia" w:ascii="仿宋" w:hAnsi="仿宋" w:eastAsia="仿宋_GB2312" w:cs="宋体"/>
          <w:sz w:val="28"/>
          <w:szCs w:val="21"/>
        </w:rPr>
        <w:t>。</w:t>
      </w:r>
      <w:r>
        <w:rPr>
          <w:rFonts w:hint="eastAsia" w:ascii="仿宋" w:hAnsi="仿宋" w:eastAsia="仿宋_GB2312" w:cs="宋体"/>
          <w:b/>
          <w:sz w:val="28"/>
          <w:szCs w:val="21"/>
        </w:rPr>
        <w:t>要求：</w:t>
      </w:r>
      <w:r>
        <w:rPr>
          <w:rFonts w:hint="eastAsia" w:ascii="仿宋" w:hAnsi="仿宋" w:eastAsia="仿宋_GB2312" w:cs="宋体"/>
          <w:sz w:val="28"/>
          <w:szCs w:val="21"/>
        </w:rPr>
        <w:t>平移滑台运动速度不得超过</w:t>
      </w:r>
      <w:r>
        <w:rPr>
          <w:rFonts w:ascii="仿宋" w:hAnsi="仿宋" w:eastAsia="仿宋_GB2312" w:cs="宋体"/>
          <w:sz w:val="28"/>
          <w:szCs w:val="21"/>
        </w:rPr>
        <w:t>25mm/s</w:t>
      </w:r>
      <w:r>
        <w:rPr>
          <w:rFonts w:hint="eastAsia" w:ascii="仿宋" w:hAnsi="仿宋" w:eastAsia="仿宋_GB2312" w:cs="宋体"/>
          <w:sz w:val="28"/>
          <w:szCs w:val="21"/>
        </w:rPr>
        <w:t>。</w:t>
      </w:r>
    </w:p>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fldChar w:fldCharType="begin"/>
      </w:r>
      <w:r>
        <w:rPr>
          <w:rFonts w:ascii="仿宋" w:hAnsi="仿宋" w:eastAsia="仿宋_GB2312" w:cs="宋体"/>
          <w:sz w:val="28"/>
          <w:szCs w:val="21"/>
        </w:rPr>
        <w:instrText xml:space="preserve"> = 2 \* GB3 </w:instrText>
      </w:r>
      <w:r>
        <w:rPr>
          <w:rFonts w:ascii="仿宋" w:hAnsi="仿宋" w:eastAsia="仿宋_GB2312" w:cs="宋体"/>
          <w:sz w:val="28"/>
          <w:szCs w:val="21"/>
        </w:rPr>
        <w:fldChar w:fldCharType="separate"/>
      </w:r>
      <w:r>
        <w:rPr>
          <w:rFonts w:hint="eastAsia" w:ascii="仿宋" w:hAnsi="仿宋" w:eastAsia="仿宋_GB2312" w:cs="宋体"/>
          <w:sz w:val="28"/>
          <w:szCs w:val="21"/>
        </w:rPr>
        <w:t>②</w:t>
      </w:r>
      <w:r>
        <w:rPr>
          <w:rFonts w:ascii="仿宋" w:hAnsi="仿宋" w:eastAsia="仿宋_GB2312" w:cs="宋体"/>
          <w:sz w:val="28"/>
          <w:szCs w:val="21"/>
        </w:rPr>
        <w:fldChar w:fldCharType="end"/>
      </w:r>
      <w:r>
        <w:rPr>
          <w:rFonts w:hint="eastAsia" w:ascii="仿宋" w:hAnsi="仿宋" w:eastAsia="仿宋_GB2312" w:cs="宋体"/>
          <w:sz w:val="28"/>
          <w:szCs w:val="21"/>
        </w:rPr>
        <w:t>根据所提供的执行单元内部接线图，对执行单元内部的</w:t>
      </w:r>
      <w:r>
        <w:rPr>
          <w:rFonts w:ascii="仿宋" w:hAnsi="仿宋" w:eastAsia="仿宋_GB2312" w:cs="宋体"/>
          <w:sz w:val="28"/>
          <w:szCs w:val="21"/>
        </w:rPr>
        <w:t>PLC</w:t>
      </w:r>
      <w:r>
        <w:rPr>
          <w:rFonts w:hint="eastAsia" w:ascii="仿宋" w:hAnsi="仿宋" w:eastAsia="仿宋_GB2312" w:cs="宋体"/>
          <w:sz w:val="28"/>
          <w:szCs w:val="21"/>
        </w:rPr>
        <w:t>进行编程，使平移滑台实现回原点、定位运动、定速运动功能，原点传感器位于标尺零刻度一侧。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3</w:t>
      </w:r>
      <w:r>
        <w:rPr>
          <w:rFonts w:hint="eastAsia" w:ascii="仿宋" w:hAnsi="仿宋" w:eastAsia="仿宋_GB2312" w:cs="宋体"/>
          <w:sz w:val="28"/>
          <w:szCs w:val="21"/>
        </w:rPr>
        <w:t>）快换工具的拾取与放回</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对工业机器人操作与编程，使工业机器人可以完成对所需工具的拾取与放回，动作过程连贯无碰撞。快换工具在工具架的位置根据使用需求自行调整。</w:t>
      </w:r>
      <w:r>
        <w:rPr>
          <w:rFonts w:hint="eastAsia" w:ascii="仿宋" w:hAnsi="仿宋" w:eastAsia="仿宋_GB2312" w:cs="宋体"/>
          <w:b/>
          <w:sz w:val="28"/>
          <w:szCs w:val="21"/>
        </w:rPr>
        <w:t>注意：</w:t>
      </w:r>
      <w:r>
        <w:rPr>
          <w:rFonts w:hint="eastAsia" w:ascii="仿宋" w:hAnsi="仿宋" w:eastAsia="仿宋_GB2312" w:cs="宋体"/>
          <w:sz w:val="28"/>
          <w:szCs w:val="21"/>
        </w:rPr>
        <w:t>工业机器人不得悬空释放工具使其掉落到工具架上。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4</w:t>
      </w:r>
      <w:r>
        <w:rPr>
          <w:rFonts w:hint="eastAsia" w:ascii="仿宋" w:hAnsi="仿宋" w:eastAsia="仿宋_GB2312" w:cs="宋体"/>
          <w:sz w:val="28"/>
          <w:szCs w:val="21"/>
        </w:rPr>
        <w:t>）快换工具的使用</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对工业机器人操作与编程，使工业机器人可以完成对所使用的工具的动作，如夹爪类工具的夹紧</w:t>
      </w:r>
      <w:r>
        <w:rPr>
          <w:rFonts w:ascii="仿宋" w:hAnsi="仿宋" w:eastAsia="仿宋_GB2312" w:cs="宋体"/>
          <w:sz w:val="28"/>
          <w:szCs w:val="21"/>
        </w:rPr>
        <w:t>/</w:t>
      </w:r>
      <w:r>
        <w:rPr>
          <w:rFonts w:hint="eastAsia" w:ascii="仿宋" w:hAnsi="仿宋" w:eastAsia="仿宋_GB2312" w:cs="宋体"/>
          <w:sz w:val="28"/>
          <w:szCs w:val="21"/>
        </w:rPr>
        <w:t>松开、吸盘类工具的吸取</w:t>
      </w:r>
      <w:r>
        <w:rPr>
          <w:rFonts w:ascii="仿宋" w:hAnsi="仿宋" w:eastAsia="仿宋_GB2312" w:cs="宋体"/>
          <w:sz w:val="28"/>
          <w:szCs w:val="21"/>
        </w:rPr>
        <w:t>/</w:t>
      </w:r>
      <w:r>
        <w:rPr>
          <w:rFonts w:hint="eastAsia" w:ascii="仿宋" w:hAnsi="仿宋" w:eastAsia="仿宋_GB2312" w:cs="宋体"/>
          <w:sz w:val="28"/>
          <w:szCs w:val="21"/>
        </w:rPr>
        <w:t>释放、打磨类工具的打磨</w:t>
      </w:r>
      <w:r>
        <w:rPr>
          <w:rFonts w:ascii="仿宋" w:hAnsi="仿宋" w:eastAsia="仿宋_GB2312" w:cs="宋体"/>
          <w:sz w:val="28"/>
          <w:szCs w:val="21"/>
        </w:rPr>
        <w:t>/</w:t>
      </w:r>
      <w:r>
        <w:rPr>
          <w:rFonts w:hint="eastAsia" w:ascii="仿宋" w:hAnsi="仿宋" w:eastAsia="仿宋_GB2312" w:cs="宋体"/>
          <w:sz w:val="28"/>
          <w:szCs w:val="21"/>
        </w:rPr>
        <w:t>停止等动作切换，并实现轮毂的拾取、释放和打磨加工。</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3.</w:t>
      </w:r>
      <w:r>
        <w:rPr>
          <w:rFonts w:hint="eastAsia" w:ascii="仿宋" w:hAnsi="仿宋" w:eastAsia="仿宋_GB2312" w:cs="宋体"/>
          <w:b/>
          <w:bCs/>
          <w:sz w:val="28"/>
          <w:szCs w:val="21"/>
        </w:rPr>
        <w:t>仓储单元智能化改造</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（1）仓储单元立体仓库改造根据控制系统方案设计结果和所提供的仓储单元内部接线图，实现以下功能：</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①由外部信号控制指定编号的仓位托盘推出和缩回。</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②每个仓位的传感器可以感知当前是否有轮毂零件存放在仓位中。</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③仓位指示灯根据仓位内轮毂零件存储状态点亮，当仓位内没有存放轮毂零件时亮红灯，当仓位内存放有轮毂零件时亮绿灯。</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2</w:t>
      </w:r>
      <w:r>
        <w:rPr>
          <w:rFonts w:hint="eastAsia" w:ascii="仿宋" w:hAnsi="仿宋" w:eastAsia="仿宋_GB2312" w:cs="宋体"/>
          <w:sz w:val="28"/>
          <w:szCs w:val="21"/>
        </w:rPr>
        <w:t>）</w:t>
      </w:r>
      <w:r>
        <w:rPr>
          <w:rFonts w:ascii="仿宋" w:hAnsi="仿宋" w:eastAsia="仿宋_GB2312" w:cs="宋体"/>
          <w:sz w:val="28"/>
          <w:szCs w:val="21"/>
        </w:rPr>
        <w:t>A1</w:t>
      </w:r>
      <w:r>
        <w:rPr>
          <w:rFonts w:hint="eastAsia" w:ascii="仿宋" w:hAnsi="仿宋" w:eastAsia="仿宋_GB2312" w:cs="宋体"/>
          <w:sz w:val="28"/>
          <w:szCs w:val="21"/>
        </w:rPr>
        <w:t>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①工业机器人由仓储单元将轮毂零件取出。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②轮毂取出顺序为：先取奇数号仓位的轮毂零件（奇数号从大到小），后取偶数号仓位的轮毂零件（偶数号从大到小）。</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③若此仓位的轮毂零件已被加工检测过，或者此仓位无轮毂零件，则跳过此仓位。</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④取出顺序可以循环多次，直至完全遍历 6 个轮毂。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3</w:t>
      </w:r>
      <w:r>
        <w:rPr>
          <w:rFonts w:hint="eastAsia" w:ascii="仿宋" w:hAnsi="仿宋" w:eastAsia="仿宋_GB2312" w:cs="宋体"/>
          <w:sz w:val="28"/>
          <w:szCs w:val="21"/>
        </w:rPr>
        <w:t>）</w:t>
      </w:r>
      <w:r>
        <w:rPr>
          <w:rFonts w:ascii="仿宋" w:hAnsi="仿宋" w:eastAsia="仿宋_GB2312" w:cs="宋体"/>
          <w:sz w:val="28"/>
          <w:szCs w:val="21"/>
        </w:rPr>
        <w:t>A2</w:t>
      </w:r>
      <w:r>
        <w:rPr>
          <w:rFonts w:hint="eastAsia" w:ascii="仿宋" w:hAnsi="仿宋" w:eastAsia="仿宋_GB2312" w:cs="宋体"/>
          <w:sz w:val="28"/>
          <w:szCs w:val="21"/>
        </w:rPr>
        <w:t>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①工业机器人将所持轮毂零件放回仓储单元前，要求选手需根据轮毂实际状态决定是否需要自行增加翻转工序，最终要求轮毂零件正面朝下放回仓储单元。</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②轮毂零件属于异形件的，按序放置于料仓的偶数号仓位（仓位编号从小到大）；轮毂零件属于标准件的，按序放置于料仓的奇数号仓位（仓位编号从小到大）。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 若目标仓位已有轮毂零件，则需先将该仓位的轮毂零件取出，随机放置于传送带上光电传感器检测不到的区域（避免误触发），将目标轮毂零件放回目标仓位，再将放置于传送带上的轮毂零件放回空闲的仓位中。</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4.</w:t>
      </w:r>
      <w:r>
        <w:rPr>
          <w:rFonts w:hint="eastAsia" w:ascii="仿宋" w:hAnsi="仿宋" w:eastAsia="仿宋_GB2312" w:cs="宋体"/>
          <w:b/>
          <w:bCs/>
          <w:sz w:val="28"/>
          <w:szCs w:val="21"/>
        </w:rPr>
        <w:t>加工单元智能化改造</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1</w:t>
      </w:r>
      <w:r>
        <w:rPr>
          <w:rFonts w:hint="eastAsia" w:ascii="仿宋" w:hAnsi="仿宋" w:eastAsia="仿宋_GB2312" w:cs="宋体"/>
          <w:sz w:val="28"/>
          <w:szCs w:val="21"/>
        </w:rPr>
        <w:t>）数控系统刀具信息建立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对数控系统进行操作设置，根据虚拟刀库刀具信息新建对应刀具，以便后续数控加工编程使用。其中，加工单元中虚拟刀库内已存有 6 把刀具，各刀具信息如表 6 所示，刀库中编号 01-06 分别对应 T1-T6。在数控系统中建立刀具信息时，单刃螺旋铣刀、双刃螺旋铣刀对应数控系统中的“铣刀”类型，球头铣刀对应数控系统中的“圆柱形球头模具铣刀”类型，刀具长度参数对应刀库中刀具的总长度数据。</w:t>
      </w:r>
    </w:p>
    <w:p>
      <w:pPr>
        <w:keepNext/>
        <w:widowControl/>
        <w:spacing w:before="120"/>
        <w:jc w:val="center"/>
        <w:rPr>
          <w:rFonts w:ascii="Arial Narrow" w:hAnsi="Arial Narrow" w:eastAsia="仿宋_GB2312" w:cs="宋体"/>
          <w:sz w:val="24"/>
          <w:szCs w:val="21"/>
        </w:rPr>
      </w:pPr>
      <w:bookmarkStart w:id="5" w:name="_Ref514764430"/>
      <w:r>
        <w:rPr>
          <w:rFonts w:hint="eastAsia" w:ascii="Arial Narrow" w:hAnsi="仿宋" w:eastAsia="仿宋_GB2312" w:cs="宋体"/>
          <w:sz w:val="24"/>
          <w:szCs w:val="21"/>
        </w:rPr>
        <w:t>表</w:t>
      </w:r>
      <w:bookmarkEnd w:id="5"/>
      <w:r>
        <w:rPr>
          <w:rFonts w:hint="eastAsia" w:ascii="Arial Narrow" w:hAnsi="Arial Narrow" w:eastAsia="仿宋_GB2312" w:cs="宋体"/>
          <w:sz w:val="24"/>
          <w:szCs w:val="21"/>
        </w:rPr>
        <w:t>6</w:t>
      </w:r>
      <w:r>
        <w:rPr>
          <w:rFonts w:ascii="Arial Narrow" w:hAnsi="Arial Narrow" w:eastAsia="仿宋_GB2312" w:cs="宋体"/>
          <w:sz w:val="24"/>
          <w:szCs w:val="21"/>
        </w:rPr>
        <w:t xml:space="preserve"> </w:t>
      </w:r>
      <w:r>
        <w:rPr>
          <w:rFonts w:hint="eastAsia" w:ascii="Arial Narrow" w:hAnsi="仿宋" w:eastAsia="仿宋_GB2312" w:cs="宋体"/>
          <w:sz w:val="24"/>
          <w:szCs w:val="21"/>
        </w:rPr>
        <w:t>虚拟刀库刀具信息表</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4"/>
        <w:gridCol w:w="1946"/>
        <w:gridCol w:w="1672"/>
        <w:gridCol w:w="1672"/>
        <w:gridCol w:w="18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刀具编号</w:t>
            </w:r>
          </w:p>
        </w:tc>
        <w:tc>
          <w:tcPr>
            <w:tcW w:w="194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刀具类型</w:t>
            </w:r>
          </w:p>
        </w:tc>
        <w:tc>
          <w:tcPr>
            <w:tcW w:w="167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刀具直径</w:t>
            </w:r>
            <w:r>
              <w:rPr>
                <w:rFonts w:ascii="仿宋" w:hAnsi="仿宋" w:eastAsia="仿宋_GB2312"/>
                <w:kern w:val="0"/>
                <w:sz w:val="24"/>
                <w:szCs w:val="20"/>
              </w:rPr>
              <w:t>mm</w:t>
            </w:r>
          </w:p>
        </w:tc>
        <w:tc>
          <w:tcPr>
            <w:tcW w:w="167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刀刃长度</w:t>
            </w:r>
            <w:r>
              <w:rPr>
                <w:rFonts w:ascii="仿宋" w:hAnsi="仿宋" w:eastAsia="仿宋_GB2312"/>
                <w:kern w:val="0"/>
                <w:sz w:val="24"/>
                <w:szCs w:val="20"/>
              </w:rPr>
              <w:t>mm</w:t>
            </w:r>
          </w:p>
        </w:tc>
        <w:tc>
          <w:tcPr>
            <w:tcW w:w="1838"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刀具总长度</w:t>
            </w:r>
            <w:r>
              <w:rPr>
                <w:rFonts w:ascii="仿宋" w:hAnsi="仿宋" w:eastAsia="仿宋_GB2312"/>
                <w:kern w:val="0"/>
                <w:sz w:val="24"/>
                <w:szCs w:val="20"/>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4" w:type="dxa"/>
            <w:vAlign w:val="center"/>
          </w:tcPr>
          <w:p>
            <w:pPr>
              <w:jc w:val="center"/>
              <w:rPr>
                <w:rFonts w:ascii="仿宋" w:hAnsi="仿宋" w:eastAsia="仿宋_GB2312"/>
                <w:kern w:val="0"/>
                <w:sz w:val="24"/>
                <w:szCs w:val="20"/>
              </w:rPr>
            </w:pPr>
            <w:r>
              <w:rPr>
                <w:rFonts w:ascii="仿宋" w:hAnsi="仿宋" w:eastAsia="仿宋_GB2312"/>
                <w:kern w:val="0"/>
                <w:sz w:val="24"/>
                <w:szCs w:val="20"/>
              </w:rPr>
              <w:t>01</w:t>
            </w:r>
          </w:p>
        </w:tc>
        <w:tc>
          <w:tcPr>
            <w:tcW w:w="194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单刃螺旋铣刀</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2</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15</w:t>
            </w:r>
          </w:p>
        </w:tc>
        <w:tc>
          <w:tcPr>
            <w:tcW w:w="1838" w:type="dxa"/>
            <w:vAlign w:val="center"/>
          </w:tcPr>
          <w:p>
            <w:pPr>
              <w:jc w:val="center"/>
              <w:rPr>
                <w:rFonts w:ascii="仿宋" w:hAnsi="仿宋" w:eastAsia="仿宋_GB2312"/>
                <w:kern w:val="0"/>
                <w:sz w:val="24"/>
                <w:szCs w:val="20"/>
              </w:rPr>
            </w:pPr>
            <w:r>
              <w:rPr>
                <w:rFonts w:ascii="仿宋" w:hAnsi="仿宋" w:eastAsia="仿宋_GB2312"/>
                <w:kern w:val="0"/>
                <w:sz w:val="24"/>
                <w:szCs w:val="20"/>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4" w:type="dxa"/>
            <w:vAlign w:val="center"/>
          </w:tcPr>
          <w:p>
            <w:pPr>
              <w:jc w:val="center"/>
              <w:rPr>
                <w:rFonts w:ascii="仿宋" w:hAnsi="仿宋" w:eastAsia="仿宋_GB2312"/>
                <w:kern w:val="0"/>
                <w:sz w:val="24"/>
                <w:szCs w:val="20"/>
              </w:rPr>
            </w:pPr>
            <w:r>
              <w:rPr>
                <w:rFonts w:ascii="仿宋" w:hAnsi="仿宋" w:eastAsia="仿宋_GB2312"/>
                <w:kern w:val="0"/>
                <w:sz w:val="24"/>
                <w:szCs w:val="20"/>
              </w:rPr>
              <w:t>02</w:t>
            </w:r>
          </w:p>
        </w:tc>
        <w:tc>
          <w:tcPr>
            <w:tcW w:w="194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单刃螺旋铣刀</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2</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10</w:t>
            </w:r>
          </w:p>
        </w:tc>
        <w:tc>
          <w:tcPr>
            <w:tcW w:w="1838" w:type="dxa"/>
            <w:vAlign w:val="center"/>
          </w:tcPr>
          <w:p>
            <w:pPr>
              <w:jc w:val="center"/>
              <w:rPr>
                <w:rFonts w:ascii="仿宋" w:hAnsi="仿宋" w:eastAsia="仿宋_GB2312"/>
                <w:kern w:val="0"/>
                <w:sz w:val="24"/>
                <w:szCs w:val="20"/>
              </w:rPr>
            </w:pPr>
            <w:r>
              <w:rPr>
                <w:rFonts w:ascii="仿宋" w:hAnsi="仿宋" w:eastAsia="仿宋_GB2312"/>
                <w:kern w:val="0"/>
                <w:sz w:val="24"/>
                <w:szCs w:val="20"/>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4" w:type="dxa"/>
            <w:vAlign w:val="center"/>
          </w:tcPr>
          <w:p>
            <w:pPr>
              <w:jc w:val="center"/>
              <w:rPr>
                <w:rFonts w:ascii="仿宋" w:hAnsi="仿宋" w:eastAsia="仿宋_GB2312"/>
                <w:kern w:val="0"/>
                <w:sz w:val="24"/>
                <w:szCs w:val="20"/>
              </w:rPr>
            </w:pPr>
            <w:r>
              <w:rPr>
                <w:rFonts w:ascii="仿宋" w:hAnsi="仿宋" w:eastAsia="仿宋_GB2312"/>
                <w:kern w:val="0"/>
                <w:sz w:val="24"/>
                <w:szCs w:val="20"/>
              </w:rPr>
              <w:t>03</w:t>
            </w:r>
          </w:p>
        </w:tc>
        <w:tc>
          <w:tcPr>
            <w:tcW w:w="194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双刃螺旋铣刀</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2</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15</w:t>
            </w:r>
          </w:p>
        </w:tc>
        <w:tc>
          <w:tcPr>
            <w:tcW w:w="1838" w:type="dxa"/>
            <w:vAlign w:val="center"/>
          </w:tcPr>
          <w:p>
            <w:pPr>
              <w:jc w:val="center"/>
              <w:rPr>
                <w:rFonts w:ascii="仿宋" w:hAnsi="仿宋" w:eastAsia="仿宋_GB2312"/>
                <w:kern w:val="0"/>
                <w:sz w:val="24"/>
                <w:szCs w:val="20"/>
              </w:rPr>
            </w:pPr>
            <w:r>
              <w:rPr>
                <w:rFonts w:ascii="仿宋" w:hAnsi="仿宋" w:eastAsia="仿宋_GB2312"/>
                <w:kern w:val="0"/>
                <w:sz w:val="24"/>
                <w:szCs w:val="20"/>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4" w:type="dxa"/>
            <w:vAlign w:val="center"/>
          </w:tcPr>
          <w:p>
            <w:pPr>
              <w:jc w:val="center"/>
              <w:rPr>
                <w:rFonts w:ascii="仿宋" w:hAnsi="仿宋" w:eastAsia="仿宋_GB2312"/>
                <w:kern w:val="0"/>
                <w:sz w:val="24"/>
                <w:szCs w:val="20"/>
              </w:rPr>
            </w:pPr>
            <w:r>
              <w:rPr>
                <w:rFonts w:ascii="仿宋" w:hAnsi="仿宋" w:eastAsia="仿宋_GB2312"/>
                <w:kern w:val="0"/>
                <w:sz w:val="24"/>
                <w:szCs w:val="20"/>
              </w:rPr>
              <w:t>04</w:t>
            </w:r>
          </w:p>
        </w:tc>
        <w:tc>
          <w:tcPr>
            <w:tcW w:w="194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双刃螺旋铣刀</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2</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10</w:t>
            </w:r>
          </w:p>
        </w:tc>
        <w:tc>
          <w:tcPr>
            <w:tcW w:w="1838" w:type="dxa"/>
            <w:vAlign w:val="center"/>
          </w:tcPr>
          <w:p>
            <w:pPr>
              <w:jc w:val="center"/>
              <w:rPr>
                <w:rFonts w:ascii="仿宋" w:hAnsi="仿宋" w:eastAsia="仿宋_GB2312"/>
                <w:kern w:val="0"/>
                <w:sz w:val="24"/>
                <w:szCs w:val="20"/>
              </w:rPr>
            </w:pPr>
            <w:r>
              <w:rPr>
                <w:rFonts w:ascii="仿宋" w:hAnsi="仿宋" w:eastAsia="仿宋_GB2312"/>
                <w:kern w:val="0"/>
                <w:sz w:val="24"/>
                <w:szCs w:val="20"/>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4" w:type="dxa"/>
            <w:vAlign w:val="center"/>
          </w:tcPr>
          <w:p>
            <w:pPr>
              <w:jc w:val="center"/>
              <w:rPr>
                <w:rFonts w:ascii="仿宋" w:hAnsi="仿宋" w:eastAsia="仿宋_GB2312"/>
                <w:kern w:val="0"/>
                <w:sz w:val="24"/>
                <w:szCs w:val="20"/>
              </w:rPr>
            </w:pPr>
            <w:r>
              <w:rPr>
                <w:rFonts w:ascii="仿宋" w:hAnsi="仿宋" w:eastAsia="仿宋_GB2312"/>
                <w:kern w:val="0"/>
                <w:sz w:val="24"/>
                <w:szCs w:val="20"/>
              </w:rPr>
              <w:t>05</w:t>
            </w:r>
          </w:p>
        </w:tc>
        <w:tc>
          <w:tcPr>
            <w:tcW w:w="194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球头铣刀</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2</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15</w:t>
            </w:r>
          </w:p>
        </w:tc>
        <w:tc>
          <w:tcPr>
            <w:tcW w:w="1838" w:type="dxa"/>
            <w:vAlign w:val="center"/>
          </w:tcPr>
          <w:p>
            <w:pPr>
              <w:jc w:val="center"/>
              <w:rPr>
                <w:rFonts w:ascii="仿宋" w:hAnsi="仿宋" w:eastAsia="仿宋_GB2312"/>
                <w:kern w:val="0"/>
                <w:sz w:val="24"/>
                <w:szCs w:val="20"/>
              </w:rPr>
            </w:pPr>
            <w:r>
              <w:rPr>
                <w:rFonts w:ascii="仿宋" w:hAnsi="仿宋" w:eastAsia="仿宋_GB2312"/>
                <w:kern w:val="0"/>
                <w:sz w:val="24"/>
                <w:szCs w:val="20"/>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4" w:type="dxa"/>
            <w:vAlign w:val="center"/>
          </w:tcPr>
          <w:p>
            <w:pPr>
              <w:jc w:val="center"/>
              <w:rPr>
                <w:rFonts w:ascii="仿宋" w:hAnsi="仿宋" w:eastAsia="仿宋_GB2312"/>
                <w:kern w:val="0"/>
                <w:sz w:val="24"/>
                <w:szCs w:val="20"/>
              </w:rPr>
            </w:pPr>
            <w:r>
              <w:rPr>
                <w:rFonts w:ascii="仿宋" w:hAnsi="仿宋" w:eastAsia="仿宋_GB2312"/>
                <w:kern w:val="0"/>
                <w:sz w:val="24"/>
                <w:szCs w:val="20"/>
              </w:rPr>
              <w:t>06</w:t>
            </w:r>
          </w:p>
        </w:tc>
        <w:tc>
          <w:tcPr>
            <w:tcW w:w="194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球头铣刀</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2</w:t>
            </w:r>
          </w:p>
        </w:tc>
        <w:tc>
          <w:tcPr>
            <w:tcW w:w="1672" w:type="dxa"/>
            <w:vAlign w:val="center"/>
          </w:tcPr>
          <w:p>
            <w:pPr>
              <w:jc w:val="center"/>
              <w:rPr>
                <w:rFonts w:ascii="仿宋" w:hAnsi="仿宋" w:eastAsia="仿宋_GB2312"/>
                <w:kern w:val="0"/>
                <w:sz w:val="24"/>
                <w:szCs w:val="20"/>
              </w:rPr>
            </w:pPr>
            <w:r>
              <w:rPr>
                <w:rFonts w:ascii="仿宋" w:hAnsi="仿宋" w:eastAsia="仿宋_GB2312"/>
                <w:kern w:val="0"/>
                <w:sz w:val="24"/>
                <w:szCs w:val="20"/>
              </w:rPr>
              <w:t>10</w:t>
            </w:r>
          </w:p>
        </w:tc>
        <w:tc>
          <w:tcPr>
            <w:tcW w:w="1838" w:type="dxa"/>
            <w:vAlign w:val="center"/>
          </w:tcPr>
          <w:p>
            <w:pPr>
              <w:jc w:val="center"/>
              <w:rPr>
                <w:rFonts w:ascii="仿宋" w:hAnsi="仿宋" w:eastAsia="仿宋_GB2312"/>
                <w:kern w:val="0"/>
                <w:sz w:val="24"/>
                <w:szCs w:val="20"/>
              </w:rPr>
            </w:pPr>
            <w:r>
              <w:rPr>
                <w:rFonts w:ascii="仿宋" w:hAnsi="仿宋" w:eastAsia="仿宋_GB2312"/>
                <w:kern w:val="0"/>
                <w:sz w:val="24"/>
                <w:szCs w:val="20"/>
              </w:rPr>
              <w:t>38</w:t>
            </w:r>
          </w:p>
        </w:tc>
      </w:tr>
    </w:tbl>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2</w:t>
      </w:r>
      <w:r>
        <w:rPr>
          <w:rFonts w:hint="eastAsia" w:ascii="仿宋" w:hAnsi="仿宋" w:eastAsia="仿宋_GB2312" w:cs="宋体"/>
          <w:sz w:val="28"/>
          <w:szCs w:val="21"/>
        </w:rPr>
        <w:t>）建立机床坐标系原点</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对数控系统进行操作设置，设定数控机床坐标系原点，使主轴位置不影响工业机器人对轮毂零件的上下料。</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3</w:t>
      </w:r>
      <w:r>
        <w:rPr>
          <w:rFonts w:hint="eastAsia" w:ascii="仿宋" w:hAnsi="仿宋" w:eastAsia="仿宋_GB2312" w:cs="宋体"/>
          <w:sz w:val="28"/>
          <w:szCs w:val="21"/>
        </w:rPr>
        <w:t>）数控加工程序编程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①若轮毂零件加工工序为标准加工工序（即：视觉检测区域 3 的颜色为绿色，加工工序二维码编码含“B1”），则需完成：</w:t>
      </w:r>
    </w:p>
    <w:p>
      <w:pPr>
        <w:pStyle w:val="34"/>
        <w:numPr>
          <w:ilvl w:val="0"/>
          <w:numId w:val="3"/>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按加工工序二维码编码顺序完成全部工序流程（如：假设加工工序二维码编码为 C1B1C2C3，则应按顺序依次完成工序：C1→B1→C2→C3）；</w:t>
      </w:r>
    </w:p>
    <w:p>
      <w:pPr>
        <w:pStyle w:val="34"/>
        <w:numPr>
          <w:ilvl w:val="0"/>
          <w:numId w:val="3"/>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其中</w:t>
      </w:r>
      <w:r>
        <w:rPr>
          <w:rFonts w:ascii="仿宋" w:hAnsi="仿宋" w:eastAsia="仿宋_GB2312" w:cs="宋体"/>
          <w:sz w:val="28"/>
          <w:szCs w:val="21"/>
        </w:rPr>
        <w:t xml:space="preserve"> B1 </w:t>
      </w:r>
      <w:r>
        <w:rPr>
          <w:rFonts w:hint="eastAsia" w:ascii="仿宋" w:hAnsi="仿宋" w:eastAsia="仿宋_GB2312" w:cs="宋体"/>
          <w:sz w:val="28"/>
          <w:szCs w:val="21"/>
        </w:rPr>
        <w:t>流程，应根据图</w:t>
      </w:r>
      <w:r>
        <w:rPr>
          <w:rFonts w:ascii="仿宋" w:hAnsi="仿宋" w:eastAsia="仿宋_GB2312" w:cs="宋体"/>
          <w:sz w:val="28"/>
          <w:szCs w:val="21"/>
        </w:rPr>
        <w:t xml:space="preserve"> 4 </w:t>
      </w:r>
      <w:r>
        <w:rPr>
          <w:rFonts w:hint="eastAsia" w:ascii="仿宋" w:hAnsi="仿宋" w:eastAsia="仿宋_GB2312" w:cs="宋体"/>
          <w:sz w:val="28"/>
          <w:szCs w:val="21"/>
        </w:rPr>
        <w:t>所示的车标</w:t>
      </w:r>
      <w:r>
        <w:rPr>
          <w:rFonts w:ascii="仿宋" w:hAnsi="仿宋" w:eastAsia="仿宋_GB2312" w:cs="宋体"/>
          <w:sz w:val="28"/>
          <w:szCs w:val="21"/>
        </w:rPr>
        <w:t xml:space="preserve"> LOGO </w:t>
      </w:r>
      <w:r>
        <w:rPr>
          <w:rFonts w:hint="eastAsia" w:ascii="仿宋" w:hAnsi="仿宋" w:eastAsia="仿宋_GB2312" w:cs="宋体"/>
          <w:sz w:val="28"/>
          <w:szCs w:val="21"/>
        </w:rPr>
        <w:t>加工图纸和表</w:t>
      </w:r>
      <w:r>
        <w:rPr>
          <w:rFonts w:ascii="仿宋" w:hAnsi="仿宋" w:eastAsia="仿宋_GB2312" w:cs="宋体"/>
          <w:sz w:val="28"/>
          <w:szCs w:val="21"/>
        </w:rPr>
        <w:t xml:space="preserve"> 7 </w:t>
      </w:r>
      <w:r>
        <w:rPr>
          <w:rFonts w:hint="eastAsia" w:ascii="仿宋" w:hAnsi="仿宋" w:eastAsia="仿宋_GB2312" w:cs="宋体"/>
          <w:sz w:val="28"/>
          <w:szCs w:val="21"/>
        </w:rPr>
        <w:t>所示工艺要求（仅供参考），对数控系统进行编程，完成数控加工；</w:t>
      </w:r>
    </w:p>
    <w:p>
      <w:pPr>
        <w:keepNext/>
        <w:widowControl/>
        <w:spacing w:before="120"/>
        <w:jc w:val="center"/>
        <w:rPr>
          <w:rFonts w:ascii="Arial Narrow" w:hAnsi="仿宋" w:eastAsia="仿宋_GB2312" w:cs="宋体"/>
          <w:sz w:val="24"/>
          <w:szCs w:val="21"/>
        </w:rPr>
      </w:pPr>
      <w:r>
        <w:rPr>
          <w:rFonts w:hint="eastAsia" w:ascii="Arial Narrow" w:hAnsi="仿宋" w:eastAsia="仿宋_GB2312" w:cs="宋体"/>
          <w:sz w:val="24"/>
          <w:szCs w:val="21"/>
        </w:rPr>
        <w:t>表 7 标准加工---数控加工工艺表</w:t>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7"/>
        <w:gridCol w:w="1358"/>
        <w:gridCol w:w="1134"/>
        <w:gridCol w:w="1418"/>
        <w:gridCol w:w="1275"/>
        <w:gridCol w:w="1276"/>
        <w:gridCol w:w="1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7"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工步</w:t>
            </w:r>
          </w:p>
        </w:tc>
        <w:tc>
          <w:tcPr>
            <w:tcW w:w="1358"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工步内容</w:t>
            </w:r>
          </w:p>
        </w:tc>
        <w:tc>
          <w:tcPr>
            <w:tcW w:w="2552" w:type="dxa"/>
            <w:gridSpan w:val="2"/>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刀具</w:t>
            </w:r>
          </w:p>
        </w:tc>
        <w:tc>
          <w:tcPr>
            <w:tcW w:w="1275"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主轴转速</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（r/min）</w:t>
            </w:r>
          </w:p>
        </w:tc>
        <w:tc>
          <w:tcPr>
            <w:tcW w:w="1276"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进给速度</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（mm/min）</w:t>
            </w:r>
          </w:p>
        </w:tc>
        <w:tc>
          <w:tcPr>
            <w:tcW w:w="1100"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切削深度（mm）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7" w:type="dxa"/>
            <w:vMerge w:val="continue"/>
            <w:vAlign w:val="center"/>
          </w:tcPr>
          <w:p>
            <w:pPr>
              <w:jc w:val="center"/>
              <w:rPr>
                <w:rFonts w:cs="宋体" w:asciiTheme="minorEastAsia" w:hAnsiTheme="minorEastAsia" w:eastAsiaTheme="minorEastAsia"/>
                <w:kern w:val="0"/>
                <w:sz w:val="21"/>
                <w:szCs w:val="21"/>
              </w:rPr>
            </w:pPr>
          </w:p>
        </w:tc>
        <w:tc>
          <w:tcPr>
            <w:tcW w:w="1358" w:type="dxa"/>
            <w:vMerge w:val="continue"/>
            <w:vAlign w:val="center"/>
          </w:tcPr>
          <w:p>
            <w:pPr>
              <w:jc w:val="center"/>
              <w:rPr>
                <w:rFonts w:cs="宋体" w:asciiTheme="minorEastAsia" w:hAnsiTheme="minorEastAsia" w:eastAsiaTheme="minorEastAsia"/>
                <w:kern w:val="0"/>
                <w:sz w:val="21"/>
                <w:szCs w:val="21"/>
              </w:rPr>
            </w:pPr>
          </w:p>
        </w:tc>
        <w:tc>
          <w:tcPr>
            <w:tcW w:w="1134"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类型</w:t>
            </w:r>
          </w:p>
        </w:tc>
        <w:tc>
          <w:tcPr>
            <w:tcW w:w="1418"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刀刃直径（mm）</w:t>
            </w:r>
          </w:p>
        </w:tc>
        <w:tc>
          <w:tcPr>
            <w:tcW w:w="1275" w:type="dxa"/>
            <w:vMerge w:val="continue"/>
            <w:vAlign w:val="center"/>
          </w:tcPr>
          <w:p>
            <w:pPr>
              <w:jc w:val="center"/>
              <w:rPr>
                <w:rFonts w:cs="宋体" w:asciiTheme="minorEastAsia" w:hAnsiTheme="minorEastAsia" w:eastAsiaTheme="minorEastAsia"/>
                <w:kern w:val="0"/>
                <w:sz w:val="21"/>
                <w:szCs w:val="21"/>
              </w:rPr>
            </w:pPr>
          </w:p>
        </w:tc>
        <w:tc>
          <w:tcPr>
            <w:tcW w:w="1276" w:type="dxa"/>
            <w:vMerge w:val="continue"/>
            <w:vAlign w:val="center"/>
          </w:tcPr>
          <w:p>
            <w:pPr>
              <w:jc w:val="center"/>
              <w:rPr>
                <w:rFonts w:cs="宋体" w:asciiTheme="minorEastAsia" w:hAnsiTheme="minorEastAsia" w:eastAsiaTheme="minorEastAsia"/>
                <w:kern w:val="0"/>
                <w:sz w:val="21"/>
                <w:szCs w:val="21"/>
              </w:rPr>
            </w:pPr>
          </w:p>
        </w:tc>
        <w:tc>
          <w:tcPr>
            <w:tcW w:w="1100" w:type="dxa"/>
            <w:vMerge w:val="continue"/>
            <w:vAlign w:val="center"/>
          </w:tcPr>
          <w:p>
            <w:pPr>
              <w:jc w:val="center"/>
              <w:rPr>
                <w:rFonts w:cs="宋体" w:asciiTheme="minorEastAsia" w:hAnsiTheme="minorEastAsia" w:eastAsiaTheme="minorEastAsia"/>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7"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1</w:t>
            </w:r>
          </w:p>
        </w:tc>
        <w:tc>
          <w:tcPr>
            <w:tcW w:w="1358"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粗铣 a区域</w:t>
            </w:r>
          </w:p>
        </w:tc>
        <w:tc>
          <w:tcPr>
            <w:tcW w:w="1134"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双刃螺旋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铣刀</w:t>
            </w:r>
          </w:p>
        </w:tc>
        <w:tc>
          <w:tcPr>
            <w:tcW w:w="1418"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Φ</w:t>
            </w:r>
            <w:r>
              <w:rPr>
                <w:rFonts w:cs="宋体" w:asciiTheme="minorEastAsia" w:hAnsiTheme="minorEastAsia" w:eastAsiaTheme="minorEastAsia"/>
                <w:kern w:val="0"/>
                <w:sz w:val="21"/>
                <w:szCs w:val="21"/>
              </w:rPr>
              <w:t xml:space="preserve"> 2</w:t>
            </w:r>
          </w:p>
        </w:tc>
        <w:tc>
          <w:tcPr>
            <w:tcW w:w="1275"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3000</w:t>
            </w:r>
          </w:p>
        </w:tc>
        <w:tc>
          <w:tcPr>
            <w:tcW w:w="1276"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200</w:t>
            </w:r>
          </w:p>
        </w:tc>
        <w:tc>
          <w:tcPr>
            <w:tcW w:w="110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1</w:t>
            </w:r>
          </w:p>
        </w:tc>
      </w:tr>
    </w:tbl>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②若轮毂零件加工工序为定制加工工序（即：轮毂背面视觉检测区域 3 的颜色为红色，加工工序二维码编码含“B2”），则需完成：</w:t>
      </w:r>
    </w:p>
    <w:p>
      <w:pPr>
        <w:pStyle w:val="34"/>
        <w:numPr>
          <w:ilvl w:val="0"/>
          <w:numId w:val="3"/>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按加工工序二维码编码顺序完成全部工序流程（如：假设加工工序二维码编码为 C1B2C2C3，则应按顺序依次完成工序：C1→B2→C2→C3）；</w:t>
      </w:r>
    </w:p>
    <w:p>
      <w:pPr>
        <w:pStyle w:val="34"/>
        <w:numPr>
          <w:ilvl w:val="0"/>
          <w:numId w:val="3"/>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其中</w:t>
      </w:r>
      <w:r>
        <w:rPr>
          <w:rFonts w:ascii="仿宋" w:hAnsi="仿宋" w:eastAsia="仿宋_GB2312" w:cs="宋体"/>
          <w:sz w:val="28"/>
          <w:szCs w:val="21"/>
        </w:rPr>
        <w:t xml:space="preserve"> B2 </w:t>
      </w:r>
      <w:r>
        <w:rPr>
          <w:rFonts w:hint="eastAsia" w:ascii="仿宋" w:hAnsi="仿宋" w:eastAsia="仿宋_GB2312" w:cs="宋体"/>
          <w:sz w:val="28"/>
          <w:szCs w:val="21"/>
        </w:rPr>
        <w:t>流程，应根据表</w:t>
      </w:r>
      <w:r>
        <w:rPr>
          <w:rFonts w:ascii="仿宋" w:hAnsi="仿宋" w:eastAsia="仿宋_GB2312" w:cs="宋体"/>
          <w:sz w:val="28"/>
          <w:szCs w:val="21"/>
        </w:rPr>
        <w:t xml:space="preserve"> 8 </w:t>
      </w:r>
      <w:r>
        <w:rPr>
          <w:rFonts w:hint="eastAsia" w:ascii="仿宋" w:hAnsi="仿宋" w:eastAsia="仿宋_GB2312" w:cs="宋体"/>
          <w:sz w:val="28"/>
          <w:szCs w:val="21"/>
        </w:rPr>
        <w:t>所示工艺要求（仅供参考），对数控系统进行编程，完成定制加工工序编码的数控加工（即通过数控编程在加工圆片内实现定制加工工序编码“C1B2C2C3”的“雕刻”）；</w:t>
      </w:r>
    </w:p>
    <w:p>
      <w:pPr>
        <w:keepNext/>
        <w:widowControl/>
        <w:spacing w:before="120"/>
        <w:ind w:left="560"/>
        <w:jc w:val="center"/>
        <w:rPr>
          <w:rFonts w:ascii="Arial Narrow" w:hAnsi="仿宋" w:eastAsia="仿宋_GB2312" w:cs="宋体"/>
          <w:sz w:val="24"/>
          <w:szCs w:val="21"/>
        </w:rPr>
      </w:pPr>
      <w:r>
        <w:rPr>
          <w:rFonts w:hint="eastAsia" w:ascii="Arial Narrow" w:hAnsi="仿宋" w:eastAsia="仿宋_GB2312" w:cs="宋体"/>
          <w:sz w:val="24"/>
          <w:szCs w:val="21"/>
        </w:rPr>
        <w:t>表8</w:t>
      </w:r>
      <w:r>
        <w:rPr>
          <w:rFonts w:ascii="Arial Narrow" w:hAnsi="仿宋" w:eastAsia="仿宋_GB2312" w:cs="宋体"/>
          <w:sz w:val="24"/>
          <w:szCs w:val="21"/>
        </w:rPr>
        <w:t xml:space="preserve"> </w:t>
      </w:r>
      <w:r>
        <w:rPr>
          <w:rFonts w:hint="eastAsia" w:ascii="Arial Narrow" w:hAnsi="仿宋" w:eastAsia="仿宋_GB2312" w:cs="宋体"/>
          <w:sz w:val="24"/>
          <w:szCs w:val="21"/>
        </w:rPr>
        <w:t xml:space="preserve"> 定制加工---数控加工工艺表</w:t>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7"/>
        <w:gridCol w:w="1358"/>
        <w:gridCol w:w="1134"/>
        <w:gridCol w:w="1418"/>
        <w:gridCol w:w="1275"/>
        <w:gridCol w:w="1276"/>
        <w:gridCol w:w="1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7"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工步</w:t>
            </w:r>
          </w:p>
        </w:tc>
        <w:tc>
          <w:tcPr>
            <w:tcW w:w="1358"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工步内容</w:t>
            </w:r>
          </w:p>
        </w:tc>
        <w:tc>
          <w:tcPr>
            <w:tcW w:w="2552" w:type="dxa"/>
            <w:gridSpan w:val="2"/>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刀具</w:t>
            </w:r>
          </w:p>
        </w:tc>
        <w:tc>
          <w:tcPr>
            <w:tcW w:w="1275"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主轴转速</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（r/min）</w:t>
            </w:r>
          </w:p>
        </w:tc>
        <w:tc>
          <w:tcPr>
            <w:tcW w:w="1276"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进给速度</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（mm/min）</w:t>
            </w:r>
          </w:p>
        </w:tc>
        <w:tc>
          <w:tcPr>
            <w:tcW w:w="1100" w:type="dxa"/>
            <w:vMerge w:val="restart"/>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切削深度（mm）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7" w:type="dxa"/>
            <w:vMerge w:val="continue"/>
            <w:vAlign w:val="center"/>
          </w:tcPr>
          <w:p>
            <w:pPr>
              <w:jc w:val="center"/>
              <w:rPr>
                <w:rFonts w:cs="宋体" w:asciiTheme="minorEastAsia" w:hAnsiTheme="minorEastAsia" w:eastAsiaTheme="minorEastAsia"/>
                <w:kern w:val="0"/>
                <w:sz w:val="21"/>
                <w:szCs w:val="21"/>
              </w:rPr>
            </w:pPr>
          </w:p>
        </w:tc>
        <w:tc>
          <w:tcPr>
            <w:tcW w:w="1358" w:type="dxa"/>
            <w:vMerge w:val="continue"/>
            <w:vAlign w:val="center"/>
          </w:tcPr>
          <w:p>
            <w:pPr>
              <w:jc w:val="center"/>
              <w:rPr>
                <w:rFonts w:cs="宋体" w:asciiTheme="minorEastAsia" w:hAnsiTheme="minorEastAsia" w:eastAsiaTheme="minorEastAsia"/>
                <w:kern w:val="0"/>
                <w:sz w:val="21"/>
                <w:szCs w:val="21"/>
              </w:rPr>
            </w:pPr>
          </w:p>
        </w:tc>
        <w:tc>
          <w:tcPr>
            <w:tcW w:w="1134"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类型</w:t>
            </w:r>
          </w:p>
        </w:tc>
        <w:tc>
          <w:tcPr>
            <w:tcW w:w="1418"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刀刃直径（mm）</w:t>
            </w:r>
          </w:p>
        </w:tc>
        <w:tc>
          <w:tcPr>
            <w:tcW w:w="1275" w:type="dxa"/>
            <w:vMerge w:val="continue"/>
            <w:vAlign w:val="center"/>
          </w:tcPr>
          <w:p>
            <w:pPr>
              <w:jc w:val="center"/>
              <w:rPr>
                <w:rFonts w:cs="宋体" w:asciiTheme="minorEastAsia" w:hAnsiTheme="minorEastAsia" w:eastAsiaTheme="minorEastAsia"/>
                <w:kern w:val="0"/>
                <w:sz w:val="21"/>
                <w:szCs w:val="21"/>
              </w:rPr>
            </w:pPr>
          </w:p>
        </w:tc>
        <w:tc>
          <w:tcPr>
            <w:tcW w:w="1276" w:type="dxa"/>
            <w:vMerge w:val="continue"/>
            <w:vAlign w:val="center"/>
          </w:tcPr>
          <w:p>
            <w:pPr>
              <w:jc w:val="center"/>
              <w:rPr>
                <w:rFonts w:cs="宋体" w:asciiTheme="minorEastAsia" w:hAnsiTheme="minorEastAsia" w:eastAsiaTheme="minorEastAsia"/>
                <w:kern w:val="0"/>
                <w:sz w:val="21"/>
                <w:szCs w:val="21"/>
              </w:rPr>
            </w:pPr>
          </w:p>
        </w:tc>
        <w:tc>
          <w:tcPr>
            <w:tcW w:w="1100" w:type="dxa"/>
            <w:vMerge w:val="continue"/>
            <w:vAlign w:val="center"/>
          </w:tcPr>
          <w:p>
            <w:pPr>
              <w:jc w:val="center"/>
              <w:rPr>
                <w:rFonts w:cs="宋体" w:asciiTheme="minorEastAsia" w:hAnsiTheme="minorEastAsia" w:eastAsiaTheme="minorEastAsia"/>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7"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1</w:t>
            </w:r>
          </w:p>
        </w:tc>
        <w:tc>
          <w:tcPr>
            <w:tcW w:w="1358"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粗铣 a区域</w:t>
            </w:r>
          </w:p>
        </w:tc>
        <w:tc>
          <w:tcPr>
            <w:tcW w:w="1134"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双刃螺旋</w:t>
            </w:r>
          </w:p>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铣刀</w:t>
            </w:r>
          </w:p>
        </w:tc>
        <w:tc>
          <w:tcPr>
            <w:tcW w:w="1418"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Φ</w:t>
            </w:r>
            <w:r>
              <w:rPr>
                <w:rFonts w:cs="宋体" w:asciiTheme="minorEastAsia" w:hAnsiTheme="minorEastAsia" w:eastAsiaTheme="minorEastAsia"/>
                <w:kern w:val="0"/>
                <w:sz w:val="21"/>
                <w:szCs w:val="21"/>
              </w:rPr>
              <w:t xml:space="preserve"> 2</w:t>
            </w:r>
          </w:p>
        </w:tc>
        <w:tc>
          <w:tcPr>
            <w:tcW w:w="1275"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3000</w:t>
            </w:r>
          </w:p>
        </w:tc>
        <w:tc>
          <w:tcPr>
            <w:tcW w:w="1276"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200</w:t>
            </w:r>
          </w:p>
        </w:tc>
        <w:tc>
          <w:tcPr>
            <w:tcW w:w="1100" w:type="dxa"/>
            <w:vAlign w:val="center"/>
          </w:tcPr>
          <w:p>
            <w:pPr>
              <w:jc w:val="center"/>
              <w:rPr>
                <w:rFonts w:cs="宋体" w:asciiTheme="minorEastAsia" w:hAnsiTheme="minorEastAsia" w:eastAsiaTheme="minorEastAsia"/>
                <w:kern w:val="0"/>
                <w:sz w:val="21"/>
                <w:szCs w:val="21"/>
              </w:rPr>
            </w:pPr>
            <w:r>
              <w:rPr>
                <w:rFonts w:hint="eastAsia" w:cs="宋体" w:asciiTheme="minorEastAsia" w:hAnsiTheme="minorEastAsia" w:eastAsiaTheme="minorEastAsia"/>
                <w:kern w:val="0"/>
                <w:sz w:val="21"/>
                <w:szCs w:val="21"/>
              </w:rPr>
              <w:t>0.5</w:t>
            </w:r>
          </w:p>
        </w:tc>
      </w:tr>
    </w:tbl>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 xml:space="preserve">③ </w:t>
      </w:r>
      <w:r>
        <w:rPr>
          <w:rFonts w:hint="eastAsia" w:ascii="仿宋" w:hAnsi="仿宋" w:eastAsia="仿宋_GB2312" w:cs="宋体"/>
          <w:b/>
          <w:bCs/>
          <w:sz w:val="28"/>
          <w:szCs w:val="21"/>
        </w:rPr>
        <w:t>注意要求：</w:t>
      </w:r>
      <w:r>
        <w:rPr>
          <w:rFonts w:hint="eastAsia" w:ascii="仿宋" w:hAnsi="仿宋" w:eastAsia="仿宋_GB2312" w:cs="宋体"/>
          <w:sz w:val="28"/>
          <w:szCs w:val="21"/>
        </w:rPr>
        <w:t xml:space="preserve"> </w:t>
      </w:r>
    </w:p>
    <w:p>
      <w:pPr>
        <w:pStyle w:val="34"/>
        <w:numPr>
          <w:ilvl w:val="0"/>
          <w:numId w:val="4"/>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须在数控加工圆片范围内加工；</w:t>
      </w:r>
    </w:p>
    <w:p>
      <w:pPr>
        <w:pStyle w:val="34"/>
        <w:numPr>
          <w:ilvl w:val="0"/>
          <w:numId w:val="4"/>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数字</w:t>
      </w:r>
      <w:r>
        <w:rPr>
          <w:rFonts w:ascii="仿宋" w:hAnsi="仿宋" w:eastAsia="仿宋_GB2312" w:cs="宋体"/>
          <w:sz w:val="28"/>
          <w:szCs w:val="21"/>
        </w:rPr>
        <w:t xml:space="preserve"> 1-9</w:t>
      </w:r>
      <w:r>
        <w:rPr>
          <w:rFonts w:hint="eastAsia" w:ascii="仿宋" w:hAnsi="仿宋" w:eastAsia="仿宋_GB2312" w:cs="宋体"/>
          <w:sz w:val="28"/>
          <w:szCs w:val="21"/>
        </w:rPr>
        <w:t>、英文字母</w:t>
      </w:r>
      <w:r>
        <w:rPr>
          <w:rFonts w:ascii="仿宋" w:hAnsi="仿宋" w:eastAsia="仿宋_GB2312" w:cs="宋体"/>
          <w:sz w:val="28"/>
          <w:szCs w:val="21"/>
        </w:rPr>
        <w:t xml:space="preserve"> A</w:t>
      </w:r>
      <w:r>
        <w:rPr>
          <w:rFonts w:hint="eastAsia" w:ascii="仿宋" w:hAnsi="仿宋" w:eastAsia="仿宋_GB2312" w:cs="宋体"/>
          <w:sz w:val="28"/>
          <w:szCs w:val="21"/>
        </w:rPr>
        <w:t>、</w:t>
      </w:r>
      <w:r>
        <w:rPr>
          <w:rFonts w:ascii="仿宋" w:hAnsi="仿宋" w:eastAsia="仿宋_GB2312" w:cs="宋体"/>
          <w:sz w:val="28"/>
          <w:szCs w:val="21"/>
        </w:rPr>
        <w:t>B</w:t>
      </w:r>
      <w:r>
        <w:rPr>
          <w:rFonts w:hint="eastAsia" w:ascii="仿宋" w:hAnsi="仿宋" w:eastAsia="仿宋_GB2312" w:cs="宋体"/>
          <w:sz w:val="28"/>
          <w:szCs w:val="21"/>
        </w:rPr>
        <w:t>、</w:t>
      </w:r>
      <w:r>
        <w:rPr>
          <w:rFonts w:ascii="仿宋" w:hAnsi="仿宋" w:eastAsia="仿宋_GB2312" w:cs="宋体"/>
          <w:sz w:val="28"/>
          <w:szCs w:val="21"/>
        </w:rPr>
        <w:t>C</w:t>
      </w:r>
      <w:r>
        <w:rPr>
          <w:rFonts w:hint="eastAsia" w:ascii="仿宋" w:hAnsi="仿宋" w:eastAsia="仿宋_GB2312" w:cs="宋体"/>
          <w:sz w:val="28"/>
          <w:szCs w:val="21"/>
        </w:rPr>
        <w:t>、</w:t>
      </w:r>
      <w:r>
        <w:rPr>
          <w:rFonts w:ascii="仿宋" w:hAnsi="仿宋" w:eastAsia="仿宋_GB2312" w:cs="宋体"/>
          <w:sz w:val="28"/>
          <w:szCs w:val="21"/>
        </w:rPr>
        <w:t>D</w:t>
      </w:r>
      <w:r>
        <w:rPr>
          <w:rFonts w:hint="eastAsia" w:ascii="仿宋" w:hAnsi="仿宋" w:eastAsia="仿宋_GB2312" w:cs="宋体"/>
          <w:sz w:val="28"/>
          <w:szCs w:val="21"/>
        </w:rPr>
        <w:t>、</w:t>
      </w:r>
      <w:r>
        <w:rPr>
          <w:rFonts w:ascii="仿宋" w:hAnsi="仿宋" w:eastAsia="仿宋_GB2312" w:cs="宋体"/>
          <w:sz w:val="28"/>
          <w:szCs w:val="21"/>
        </w:rPr>
        <w:t xml:space="preserve">E </w:t>
      </w:r>
      <w:r>
        <w:rPr>
          <w:rFonts w:hint="eastAsia" w:ascii="仿宋" w:hAnsi="仿宋" w:eastAsia="仿宋_GB2312" w:cs="宋体"/>
          <w:sz w:val="28"/>
          <w:szCs w:val="21"/>
        </w:rPr>
        <w:t>的数控加工图纸已提前编制，其存放路径为：计算机\D 盘：\参考资料文件夹；</w:t>
      </w:r>
    </w:p>
    <w:p>
      <w:pPr>
        <w:pStyle w:val="34"/>
        <w:numPr>
          <w:ilvl w:val="0"/>
          <w:numId w:val="4"/>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数字</w:t>
      </w:r>
      <w:r>
        <w:rPr>
          <w:rFonts w:ascii="仿宋" w:hAnsi="仿宋" w:eastAsia="仿宋_GB2312" w:cs="宋体"/>
          <w:sz w:val="28"/>
          <w:szCs w:val="21"/>
        </w:rPr>
        <w:t xml:space="preserve"> 1-9</w:t>
      </w:r>
      <w:r>
        <w:rPr>
          <w:rFonts w:hint="eastAsia" w:ascii="仿宋" w:hAnsi="仿宋" w:eastAsia="仿宋_GB2312" w:cs="宋体"/>
          <w:sz w:val="28"/>
          <w:szCs w:val="21"/>
        </w:rPr>
        <w:t>、英文字母</w:t>
      </w:r>
      <w:r>
        <w:rPr>
          <w:rFonts w:ascii="仿宋" w:hAnsi="仿宋" w:eastAsia="仿宋_GB2312" w:cs="宋体"/>
          <w:sz w:val="28"/>
          <w:szCs w:val="21"/>
        </w:rPr>
        <w:t xml:space="preserve"> A</w:t>
      </w:r>
      <w:r>
        <w:rPr>
          <w:rFonts w:hint="eastAsia" w:ascii="仿宋" w:hAnsi="仿宋" w:eastAsia="仿宋_GB2312" w:cs="宋体"/>
          <w:sz w:val="28"/>
          <w:szCs w:val="21"/>
        </w:rPr>
        <w:t>、</w:t>
      </w:r>
      <w:r>
        <w:rPr>
          <w:rFonts w:ascii="仿宋" w:hAnsi="仿宋" w:eastAsia="仿宋_GB2312" w:cs="宋体"/>
          <w:sz w:val="28"/>
          <w:szCs w:val="21"/>
        </w:rPr>
        <w:t>B</w:t>
      </w:r>
      <w:r>
        <w:rPr>
          <w:rFonts w:hint="eastAsia" w:ascii="仿宋" w:hAnsi="仿宋" w:eastAsia="仿宋_GB2312" w:cs="宋体"/>
          <w:sz w:val="28"/>
          <w:szCs w:val="21"/>
        </w:rPr>
        <w:t>、</w:t>
      </w:r>
      <w:r>
        <w:rPr>
          <w:rFonts w:ascii="仿宋" w:hAnsi="仿宋" w:eastAsia="仿宋_GB2312" w:cs="宋体"/>
          <w:sz w:val="28"/>
          <w:szCs w:val="21"/>
        </w:rPr>
        <w:t>C</w:t>
      </w:r>
      <w:r>
        <w:rPr>
          <w:rFonts w:hint="eastAsia" w:ascii="仿宋" w:hAnsi="仿宋" w:eastAsia="仿宋_GB2312" w:cs="宋体"/>
          <w:sz w:val="28"/>
          <w:szCs w:val="21"/>
        </w:rPr>
        <w:t>、</w:t>
      </w:r>
      <w:r>
        <w:rPr>
          <w:rFonts w:ascii="仿宋" w:hAnsi="仿宋" w:eastAsia="仿宋_GB2312" w:cs="宋体"/>
          <w:sz w:val="28"/>
          <w:szCs w:val="21"/>
        </w:rPr>
        <w:t>D</w:t>
      </w:r>
      <w:r>
        <w:rPr>
          <w:rFonts w:hint="eastAsia" w:ascii="仿宋" w:hAnsi="仿宋" w:eastAsia="仿宋_GB2312" w:cs="宋体"/>
          <w:sz w:val="28"/>
          <w:szCs w:val="21"/>
        </w:rPr>
        <w:t>、</w:t>
      </w:r>
      <w:r>
        <w:rPr>
          <w:rFonts w:ascii="仿宋" w:hAnsi="仿宋" w:eastAsia="仿宋_GB2312" w:cs="宋体"/>
          <w:sz w:val="28"/>
          <w:szCs w:val="21"/>
        </w:rPr>
        <w:t xml:space="preserve">E </w:t>
      </w:r>
      <w:r>
        <w:rPr>
          <w:rFonts w:hint="eastAsia" w:ascii="仿宋" w:hAnsi="仿宋" w:eastAsia="仿宋_GB2312" w:cs="宋体"/>
          <w:sz w:val="28"/>
          <w:szCs w:val="21"/>
        </w:rPr>
        <w:t>的数控加工程序已提前编制，其存放 路 径 为 ： 程 序 管 理 器 (PROGRAM MAINAGEG )\ 工 件 文 件 夹\DS11A.WPD，数控加工完成定制工序编码（即 B2 工序）可直接调用相关数控程序；</w:t>
      </w:r>
    </w:p>
    <w:p>
      <w:pPr>
        <w:pStyle w:val="34"/>
        <w:numPr>
          <w:ilvl w:val="0"/>
          <w:numId w:val="4"/>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数控加工完成车标</w:t>
      </w:r>
      <w:r>
        <w:rPr>
          <w:rFonts w:ascii="仿宋" w:hAnsi="仿宋" w:eastAsia="仿宋_GB2312" w:cs="宋体"/>
          <w:sz w:val="28"/>
          <w:szCs w:val="21"/>
        </w:rPr>
        <w:t xml:space="preserve"> LOGO</w:t>
      </w:r>
      <w:r>
        <w:rPr>
          <w:rFonts w:hint="eastAsia" w:ascii="仿宋" w:hAnsi="仿宋" w:eastAsia="仿宋_GB2312" w:cs="宋体"/>
          <w:sz w:val="28"/>
          <w:szCs w:val="21"/>
        </w:rPr>
        <w:t>（即</w:t>
      </w:r>
      <w:r>
        <w:rPr>
          <w:rFonts w:ascii="仿宋" w:hAnsi="仿宋" w:eastAsia="仿宋_GB2312" w:cs="宋体"/>
          <w:sz w:val="28"/>
          <w:szCs w:val="21"/>
        </w:rPr>
        <w:t xml:space="preserve"> B1 </w:t>
      </w:r>
      <w:r>
        <w:rPr>
          <w:rFonts w:hint="eastAsia" w:ascii="仿宋" w:hAnsi="仿宋" w:eastAsia="仿宋_GB2312" w:cs="宋体"/>
          <w:sz w:val="28"/>
          <w:szCs w:val="21"/>
        </w:rPr>
        <w:t>工序）需选手自行完成数控编程；</w:t>
      </w:r>
    </w:p>
    <w:p>
      <w:pPr>
        <w:pStyle w:val="34"/>
        <w:numPr>
          <w:ilvl w:val="0"/>
          <w:numId w:val="4"/>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数控加工后能够清晰的看出车标</w:t>
      </w:r>
      <w:r>
        <w:rPr>
          <w:rFonts w:ascii="仿宋" w:hAnsi="仿宋" w:eastAsia="仿宋_GB2312" w:cs="宋体"/>
          <w:sz w:val="28"/>
          <w:szCs w:val="21"/>
        </w:rPr>
        <w:t xml:space="preserve"> LOGO </w:t>
      </w:r>
      <w:r>
        <w:rPr>
          <w:rFonts w:hint="eastAsia" w:ascii="仿宋" w:hAnsi="仿宋" w:eastAsia="仿宋_GB2312" w:cs="宋体"/>
          <w:sz w:val="28"/>
          <w:szCs w:val="21"/>
        </w:rPr>
        <w:t>或定制加工工序编码即可，其他不做特别要求；</w:t>
      </w:r>
    </w:p>
    <w:p>
      <w:pPr>
        <w:pStyle w:val="34"/>
        <w:numPr>
          <w:ilvl w:val="0"/>
          <w:numId w:val="4"/>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加工开始和结束时主轴位置处于机床坐标系原点。</w:t>
      </w:r>
    </w:p>
    <w:p>
      <w:pPr>
        <w:keepNext/>
        <w:jc w:val="center"/>
        <w:rPr>
          <w:rFonts w:ascii="仿宋" w:hAnsi="仿宋" w:eastAsia="仿宋_GB2312"/>
          <w:kern w:val="0"/>
          <w:sz w:val="28"/>
          <w:szCs w:val="20"/>
        </w:rPr>
      </w:pPr>
      <w:r>
        <w:rPr>
          <w:rFonts w:ascii="仿宋" w:hAnsi="仿宋" w:eastAsia="仿宋_GB2312"/>
          <w:kern w:val="0"/>
          <w:sz w:val="28"/>
          <w:szCs w:val="20"/>
        </w:rPr>
        <w:drawing>
          <wp:inline distT="0" distB="0" distL="0" distR="0">
            <wp:extent cx="4945380" cy="6903720"/>
            <wp:effectExtent l="0" t="0" r="762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945380" cy="6903720"/>
                    </a:xfrm>
                    <a:prstGeom prst="rect">
                      <a:avLst/>
                    </a:prstGeom>
                    <a:noFill/>
                    <a:ln>
                      <a:noFill/>
                    </a:ln>
                  </pic:spPr>
                </pic:pic>
              </a:graphicData>
            </a:graphic>
          </wp:inline>
        </w:drawing>
      </w:r>
    </w:p>
    <w:p>
      <w:pPr>
        <w:jc w:val="center"/>
        <w:rPr>
          <w:rFonts w:ascii="仿宋" w:hAnsi="仿宋" w:eastAsia="仿宋_GB2312"/>
          <w:kern w:val="0"/>
          <w:sz w:val="24"/>
          <w:szCs w:val="20"/>
        </w:rPr>
      </w:pPr>
      <w:bookmarkStart w:id="6" w:name="_Ref514527377"/>
      <w:r>
        <w:rPr>
          <w:rFonts w:hint="eastAsia" w:ascii="仿宋" w:hAnsi="仿宋" w:eastAsia="仿宋_GB2312"/>
          <w:kern w:val="0"/>
          <w:sz w:val="24"/>
          <w:szCs w:val="20"/>
        </w:rPr>
        <w:t>图</w:t>
      </w:r>
      <w:bookmarkEnd w:id="6"/>
      <w:r>
        <w:rPr>
          <w:rFonts w:hint="eastAsia" w:ascii="仿宋" w:hAnsi="仿宋" w:eastAsia="仿宋_GB2312"/>
          <w:kern w:val="0"/>
          <w:sz w:val="24"/>
          <w:szCs w:val="20"/>
        </w:rPr>
        <w:t>4</w:t>
      </w:r>
      <w:r>
        <w:rPr>
          <w:rFonts w:ascii="仿宋" w:hAnsi="仿宋" w:eastAsia="仿宋_GB2312"/>
          <w:kern w:val="0"/>
          <w:sz w:val="24"/>
          <w:szCs w:val="20"/>
        </w:rPr>
        <w:t xml:space="preserve">  </w:t>
      </w:r>
      <w:r>
        <w:rPr>
          <w:rFonts w:hint="eastAsia" w:ascii="仿宋" w:hAnsi="仿宋" w:eastAsia="仿宋_GB2312"/>
          <w:kern w:val="0"/>
          <w:sz w:val="24"/>
          <w:szCs w:val="20"/>
        </w:rPr>
        <w:t>车标 LOGO 数控加工图纸</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（4）B1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①工业机器人将所持轮毂零件上料到加工单元数控机床的夹具上。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②工业机器人退出加工单元。</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③数控机床完成图 4 所示的车标 LOGO 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④工业机器人将轮毂零件由加工单元数控机床的夹具上拾取出来。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（5）B2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①工业机器人将所持轮毂零件上料到加工单元数控机床的夹具上。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②工业机器人退出加工单元。</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③数控机床完成定制加工工序编码的“雕刻”加工。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④工业机器人将轮毂零件由加工单元数控机床的夹具上拾取出来。</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5.</w:t>
      </w:r>
      <w:r>
        <w:rPr>
          <w:rFonts w:hint="eastAsia" w:ascii="仿宋" w:hAnsi="仿宋" w:eastAsia="仿宋_GB2312" w:cs="宋体"/>
          <w:b/>
          <w:bCs/>
          <w:sz w:val="28"/>
          <w:szCs w:val="21"/>
        </w:rPr>
        <w:t>打磨单元智能化改造</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（1）打磨单元翻转工装改造根据控制系统方案设计结果和所提供的打磨单元内部接线图，实现以下功能：</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①当工业机器人准备将轮毂零件放置到打磨工位或准备将轮毂由打磨工位取走时，翻转工装处于旋转工位一侧。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②当工业机器人准备将轮毂零件放置到旋转工位或准备将轮毂由旋转工位取走时，翻转工装处于打磨工位一侧。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③翻转工装可将轮毂零件在打磨工位和旋转工位间翻转并准确定位。</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④打磨加工只需将打磨刷与轮毂表面接触后开启打磨，保持 3s 后关闭打磨。</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（2）C1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①翻转工装动作到打磨工位一侧。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②工业机器人将所持轮毂零件放置到旋转工位上。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③翻转工装将轮毂零件由旋转工位翻转到打磨工位上。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④翻转工装动作到旋转工位一侧。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⑤工业机器人由打磨工位将轮毂零件取出。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（3）C2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①工业机器人将轮毂零件放置到吹屑工位内部，轮毂零件完全进入吹屑工位内，夹爪不松开。</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②吹屑 2s，同时使轮毂零件在吹屑工位内顺时针旋转 90°，确保碎屑完全吹除。</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③工业机器人将轮毂零件由吹屑工位内取出。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（4）C3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①翻转工装动作到打磨工位一侧。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②工业机器人将所持轮毂零件放置到旋转工位上。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③对位于旋转工位上的轮毂零件的打磨加工区域 3 进行打磨加工。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④工业机器人由旋转工位将轮毂零件取出。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（5）C4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①翻转工装动作到打磨工位一侧。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②工业机器人将所持轮毂零件放置到旋转工位上。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③对位于旋转工位上的轮毂零件的打磨加工区域 4 进行打磨加工。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④旋转工位逆时针旋转 180°。</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⑤工业机器人由旋转工位将轮毂零件取出。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⑥旋转工位气缸复位。</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（6）C5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①翻转工装动作到打磨工位一侧。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②工业机器人将所持轮毂零件放置到旋转工位上。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③旋转工位顺时针旋转 180°。</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④工业机器人由旋转工位将轮毂零件取出。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⑤旋转工位气缸复位。</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（7）C6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①翻转工装动作到打磨工位一侧。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②工业机器人将所持轮毂零件放置到旋转工位上。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③对位于旋转工位上的轮毂零件的打磨加工区域 1 进行打磨加工。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④工业机器人由旋转工位将轮毂零件取出。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（8）C7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①翻转工装动作到打磨工位一侧。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②工业机器人将所持轮毂零件放置到旋转工位上。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③对位于旋转工位上的轮毂零件的打磨加工区域 2 进行打磨加工。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④工业机器人由旋转工位将轮毂零件取出。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（9）C8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①翻转工装动作到打磨工位一侧。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②工业机器人将所持轮毂零件放置到旋转工位上。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③对位于旋转工位上的轮毂零件的打磨加工区域 2 进行打磨加工。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④旋转工位逆时针旋转 180°。</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⑤工业机器人由旋转工位将轮毂零件取出。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⑥旋转工位气缸复位。</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（10）C9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①翻转工装动作到打磨工位一侧。</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②工业机器人将所持轮毂零件放置到旋转工位上。</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③对位于旋转工位上的轮毂零件的打磨加工区域 1 进行打磨加工。</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④旋转工位顺时针旋转 180°。</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⑤工业机器人由旋转工位将轮毂零件取出。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⑥旋转工位气缸复位。</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（11）上述 C1～C9 将逐一考评，实行单项计分；在单项计分过程中，仅允许选手手动演示或手动触发必要条件及相关设备，禁止改动软件程序、硬件接线及IO 设置。</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6.</w:t>
      </w:r>
      <w:r>
        <w:rPr>
          <w:rFonts w:hint="eastAsia" w:ascii="仿宋" w:hAnsi="仿宋" w:eastAsia="仿宋_GB2312" w:cs="宋体"/>
          <w:b/>
          <w:bCs/>
          <w:sz w:val="28"/>
          <w:szCs w:val="21"/>
        </w:rPr>
        <w:t>检测单元智能化改造</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1）在检测单元对轮毂零件指定位置的清晰图像提取对工业机器人操作与编程，使工业机器人可稳定拾取轮毂零件置于检测单元的视觉相机视野中，并对检测单元的相机镜头焦距/光圈、光源亮度、采集图像对比度等进行调整，使视觉控制器可采集到清晰稳定的图像。</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（2）在检测单元对轮毂零件指定信息的提取</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 对视觉控制器进行操作与编程，使其可对于轮毂零件正面所贴的电子标签区域 1——产品系列编码（二维码）进行识别，输出产品加工系列编码（如：0001表示产品属于 1 系列；0002 表示产品属于 2 系列）。</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②对视觉控制器进行操作与编程，使其可对于轮毂零件背面所贴的电子标签区域 2——产品加工工序编码（标准加工工序编码或定制加工工序编码，且工序不可调整）（二维码）进行识别，输出产品加工工序编码（如 B1C1C2，且工序顺序不可调整）。</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 对视觉控制器进行操作与编程，使其可对于轮毂零件正面所贴的视觉检测区域 1——不同颜色（红/绿）的贴纸进行识别；视觉检测区域1用于识别异形件或标准件：检测识别结果为红色则是异形件，输出结果为 NG，检测识别结果为绿色则是标准件，输出结果为 OK。</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④对视觉控制器进行操作与编程，使其可对于轮毂零件正面所贴的视觉检测区域 2——不同颜色（红/绿）的贴纸进行识别；视觉检测区域2用于识别零件是否存在瑕疵：检测识别结果为红色则存在瑕疵，输出结果为 NG，检测识别结果为绿色则不存在瑕疵，输出结果为 OK。</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⑤对视觉控制器进行操作与编程，使其可对于轮毂零件背面所贴的视觉检测区域 3——不同颜色（红/绿）的贴纸进行识别；视觉检测区域3用于识别标准加工或定制加工：检测识别结果为红色则是定制加工，输出结果为 NG，检测识别结果为绿色则是标准加工，输出结果为OK。</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⑥对视觉控制器进行操作与编程，使其可对于轮毂零件背面所贴的视觉检测区域 4——不同颜色（红/绿）的贴纸进行识别；视觉检测区域4用于识别精加工件或粗加工件：检测识别结果为红色则是精加工件，输出结果为 NG，检测识别结果为绿色则是粗加工件，输出结果为OK。</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⑦通过交互信号建立，使得检测单元可以由外部信号控制在不同检测功能程序间选择后执行，并将检测输出结果输出到工业机器人。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（3）D1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①视觉检测轮毂零件当前面的视觉检测区域 1。</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②检测结果为标准件，进入后序左侧流程。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③检测结果为异形件，进入后序右侧流程。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（4）D2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①视觉检测轮毂零件当前面的电子标签区域 1。</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②检测结果为系列 1，进入后序左侧流程。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③检测结果为系列 2，进入后序右侧流程。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（5）D3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①视觉检测轮毂零件当前面的视觉检测区域 2。</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②检测结果为有瑕疵，进入后序左侧流程。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 检测结果为无瑕疵，进入后序右侧流程。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（6）D4 流程要求</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①视觉检测轮毂零件当前面的视觉检测区域 3。</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②检测结果为标准加工，进入后序左侧流程。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 检测结果为定制加工，进入后序右侧流程。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（7）上述 D1～D4 将逐一考评，实行单项计分；在单项计分过程中，仅允许选手手动演示或手动触发必要条件及相关设备，禁止改动软件程序、硬件接线及IO 设置。</w:t>
      </w:r>
    </w:p>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任务四</w:t>
      </w:r>
      <w:r>
        <w:rPr>
          <w:rFonts w:ascii="仿宋" w:hAnsi="仿宋" w:eastAsia="仿宋"/>
          <w:b/>
          <w:kern w:val="44"/>
          <w:sz w:val="32"/>
          <w:szCs w:val="15"/>
        </w:rPr>
        <w:t xml:space="preserve"> </w:t>
      </w:r>
      <w:r>
        <w:rPr>
          <w:rFonts w:hint="eastAsia" w:ascii="仿宋" w:hAnsi="仿宋" w:eastAsia="仿宋"/>
          <w:b/>
          <w:kern w:val="44"/>
          <w:sz w:val="32"/>
          <w:szCs w:val="15"/>
        </w:rPr>
        <w:t>控制网络的集成调试</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1.</w:t>
      </w:r>
      <w:r>
        <w:rPr>
          <w:rFonts w:hint="eastAsia" w:ascii="仿宋" w:hAnsi="仿宋" w:eastAsia="仿宋_GB2312" w:cs="宋体"/>
          <w:b/>
          <w:bCs/>
          <w:sz w:val="28"/>
          <w:szCs w:val="21"/>
        </w:rPr>
        <w:t>应用平台界面开发</w:t>
      </w:r>
    </w:p>
    <w:p>
      <w:pPr>
        <w:spacing w:line="560" w:lineRule="exact"/>
        <w:ind w:firstLine="562" w:firstLineChars="200"/>
        <w:jc w:val="left"/>
        <w:rPr>
          <w:rFonts w:ascii="仿宋" w:hAnsi="仿宋" w:eastAsia="仿宋_GB2312" w:cs="宋体"/>
          <w:sz w:val="28"/>
          <w:szCs w:val="21"/>
        </w:rPr>
      </w:pPr>
      <w:r>
        <w:rPr>
          <w:rFonts w:hint="eastAsia" w:ascii="仿宋" w:hAnsi="仿宋" w:eastAsia="仿宋_GB2312" w:cs="宋体"/>
          <w:b/>
          <w:bCs/>
          <w:sz w:val="28"/>
          <w:szCs w:val="21"/>
        </w:rPr>
        <w:t>赛题中所给出的界面样式仅做参考非开发依据，界面效果不做评分要求，选手根据赛题要求自行设计，满足信息展示和操作功能即可。</w:t>
      </w:r>
      <w:r>
        <w:rPr>
          <w:rFonts w:hint="eastAsia" w:ascii="仿宋" w:hAnsi="仿宋" w:eastAsia="仿宋_GB2312" w:cs="宋体"/>
          <w:sz w:val="28"/>
          <w:szCs w:val="21"/>
        </w:rPr>
        <w:t>界面开发所需的全部图片素材（含本赛题任务书中的流程图，选手需在 20 个流程图图片中自行选取唯一与本赛题任务书完全一致的正确流程图）均存储在“计算机:\D 盘:\参考资料”文件夹中。</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1</w:t>
      </w:r>
      <w:r>
        <w:rPr>
          <w:rFonts w:hint="eastAsia" w:ascii="仿宋" w:hAnsi="仿宋" w:eastAsia="仿宋_GB2312" w:cs="宋体"/>
          <w:sz w:val="28"/>
          <w:szCs w:val="21"/>
        </w:rPr>
        <w:t>）欢迎界面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①利用 TIA 编程软件，在 WinCC 项目中新建页面，并将其设定为启动页面。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②对页面属性和项目运行参数进行设置，使 WinCC 项目在仿真运行时，可以在监控终端（电视）上正常显示，不会出现信息显示不全等问题。</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③对页面控件进行布局和开发，可以通过按钮点击实现进入“手动界面”、“监控界面”、“订单界面”功能界面，并能够实现在各页面之间的相互返回与切换。</w:t>
      </w:r>
    </w:p>
    <w:p>
      <w:pPr>
        <w:keepNext/>
        <w:jc w:val="center"/>
        <w:rPr>
          <w:rFonts w:ascii="仿宋" w:hAnsi="仿宋" w:eastAsia="仿宋_GB2312"/>
          <w:kern w:val="0"/>
          <w:sz w:val="28"/>
          <w:szCs w:val="20"/>
        </w:rPr>
      </w:pPr>
      <w:r>
        <w:rPr>
          <w:rFonts w:ascii="仿宋" w:hAnsi="仿宋" w:eastAsia="仿宋_GB2312"/>
          <w:kern w:val="0"/>
          <w:sz w:val="28"/>
          <w:szCs w:val="20"/>
        </w:rPr>
        <w:drawing>
          <wp:inline distT="0" distB="0" distL="0" distR="0">
            <wp:extent cx="4244340" cy="2415540"/>
            <wp:effectExtent l="0" t="0" r="381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244340" cy="2415540"/>
                    </a:xfrm>
                    <a:prstGeom prst="rect">
                      <a:avLst/>
                    </a:prstGeom>
                    <a:noFill/>
                    <a:ln>
                      <a:noFill/>
                    </a:ln>
                  </pic:spPr>
                </pic:pic>
              </a:graphicData>
            </a:graphic>
          </wp:inline>
        </w:drawing>
      </w:r>
    </w:p>
    <w:p>
      <w:pPr>
        <w:jc w:val="center"/>
        <w:rPr>
          <w:rFonts w:ascii="仿宋" w:hAnsi="仿宋" w:eastAsia="仿宋_GB2312"/>
          <w:kern w:val="0"/>
          <w:sz w:val="24"/>
          <w:szCs w:val="20"/>
        </w:rPr>
      </w:pPr>
      <w:r>
        <w:rPr>
          <w:rFonts w:hint="eastAsia" w:ascii="仿宋" w:hAnsi="仿宋" w:eastAsia="仿宋_GB2312"/>
          <w:kern w:val="0"/>
          <w:sz w:val="24"/>
          <w:szCs w:val="20"/>
        </w:rPr>
        <w:t>图</w:t>
      </w:r>
      <w:r>
        <w:rPr>
          <w:rFonts w:ascii="仿宋" w:hAnsi="仿宋" w:eastAsia="仿宋_GB2312"/>
          <w:kern w:val="0"/>
          <w:sz w:val="24"/>
          <w:szCs w:val="20"/>
        </w:rPr>
        <w:t xml:space="preserve">5  </w:t>
      </w:r>
      <w:r>
        <w:rPr>
          <w:rFonts w:hint="eastAsia" w:ascii="仿宋" w:hAnsi="仿宋" w:eastAsia="仿宋_GB2312"/>
          <w:kern w:val="0"/>
          <w:sz w:val="24"/>
          <w:szCs w:val="20"/>
        </w:rPr>
        <w:t>欢迎界面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w:t>
      </w:r>
      <w:r>
        <w:rPr>
          <w:rFonts w:ascii="仿宋" w:hAnsi="仿宋" w:eastAsia="仿宋_GB2312" w:cs="宋体"/>
          <w:sz w:val="28"/>
          <w:szCs w:val="21"/>
        </w:rPr>
        <w:t>2</w:t>
      </w:r>
      <w:r>
        <w:rPr>
          <w:rFonts w:hint="eastAsia" w:ascii="仿宋" w:hAnsi="仿宋" w:eastAsia="仿宋_GB2312" w:cs="宋体"/>
          <w:sz w:val="28"/>
          <w:szCs w:val="21"/>
        </w:rPr>
        <w:t>）订单界面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①利用 TIA 编程软件，在 WinCC 项目新建界面，可通过“欢迎界面”的相关控件打开画面，且该画面可退回到“欢迎界面”。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②对页面属性和项目运行参数进行设置，使 WinCC 项目在仿真运行时，可以在监控终端（电视）上正常显示，不会出现信息显示不全等问题。</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 订单界面中，能够自动显示当前所加工的轮毂零件的基本信息，包括：</w:t>
      </w:r>
    </w:p>
    <w:p>
      <w:pPr>
        <w:pStyle w:val="34"/>
        <w:numPr>
          <w:ilvl w:val="0"/>
          <w:numId w:val="5"/>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轮毂零件的计数信息；</w:t>
      </w:r>
    </w:p>
    <w:p>
      <w:pPr>
        <w:pStyle w:val="34"/>
        <w:numPr>
          <w:ilvl w:val="0"/>
          <w:numId w:val="5"/>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轮毂零件的定制</w:t>
      </w:r>
      <w:r>
        <w:rPr>
          <w:rFonts w:ascii="仿宋" w:hAnsi="仿宋" w:eastAsia="仿宋_GB2312" w:cs="宋体"/>
          <w:sz w:val="28"/>
          <w:szCs w:val="21"/>
        </w:rPr>
        <w:t>/</w:t>
      </w:r>
      <w:r>
        <w:rPr>
          <w:rFonts w:hint="eastAsia" w:ascii="仿宋" w:hAnsi="仿宋" w:eastAsia="仿宋_GB2312" w:cs="宋体"/>
          <w:sz w:val="28"/>
          <w:szCs w:val="21"/>
        </w:rPr>
        <w:t>标准信息；</w:t>
      </w:r>
    </w:p>
    <w:p>
      <w:pPr>
        <w:pStyle w:val="34"/>
        <w:numPr>
          <w:ilvl w:val="0"/>
          <w:numId w:val="5"/>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轮毂零件的产品系列信息；</w:t>
      </w:r>
    </w:p>
    <w:p>
      <w:pPr>
        <w:pStyle w:val="34"/>
        <w:numPr>
          <w:ilvl w:val="0"/>
          <w:numId w:val="5"/>
        </w:numPr>
        <w:spacing w:line="560" w:lineRule="exact"/>
        <w:ind w:firstLineChars="0"/>
        <w:jc w:val="left"/>
        <w:rPr>
          <w:rFonts w:ascii="仿宋" w:hAnsi="仿宋" w:eastAsia="仿宋_GB2312" w:cs="宋体"/>
          <w:sz w:val="28"/>
          <w:szCs w:val="21"/>
        </w:rPr>
      </w:pPr>
      <w:r>
        <w:rPr>
          <w:rFonts w:hint="eastAsia" w:ascii="仿宋" w:hAnsi="仿宋" w:eastAsia="仿宋_GB2312" w:cs="宋体"/>
          <w:sz w:val="28"/>
          <w:szCs w:val="21"/>
        </w:rPr>
        <w:t>轮毂零件的加工工序编码信息（定制加工工序编码或标准加工工序编码）。</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 xml:space="preserve">④ 订单界面中，能够自动显示当前所加工的轮毂零件的加工流程图，并且在加工流程图中，红色线框表示该轮毂零件所处的当前加工步骤。 </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⑤ 按下“开始自动生产”按钮后，可启动轮毂零件生产流程的自动化执行。</w:t>
      </w:r>
    </w:p>
    <w:p>
      <w:pPr>
        <w:rPr>
          <w:rFonts w:ascii="仿宋" w:hAnsi="仿宋" w:eastAsia="仿宋_GB2312" w:cs="宋体"/>
          <w:sz w:val="28"/>
          <w:szCs w:val="21"/>
        </w:rPr>
      </w:pPr>
      <w:r>
        <w:drawing>
          <wp:inline distT="0" distB="0" distL="0" distR="0">
            <wp:extent cx="5349875" cy="4625340"/>
            <wp:effectExtent l="0" t="0" r="3175"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4"/>
                    <a:stretch>
                      <a:fillRect/>
                    </a:stretch>
                  </pic:blipFill>
                  <pic:spPr>
                    <a:xfrm>
                      <a:off x="0" y="0"/>
                      <a:ext cx="5357261" cy="4631190"/>
                    </a:xfrm>
                    <a:prstGeom prst="rect">
                      <a:avLst/>
                    </a:prstGeom>
                  </pic:spPr>
                </pic:pic>
              </a:graphicData>
            </a:graphic>
          </wp:inline>
        </w:drawing>
      </w:r>
    </w:p>
    <w:p>
      <w:pPr>
        <w:jc w:val="center"/>
        <w:rPr>
          <w:rFonts w:ascii="仿宋" w:hAnsi="仿宋" w:eastAsia="仿宋_GB2312"/>
          <w:kern w:val="0"/>
          <w:sz w:val="24"/>
          <w:szCs w:val="20"/>
        </w:rPr>
      </w:pPr>
      <w:r>
        <w:rPr>
          <w:rFonts w:hint="eastAsia" w:ascii="仿宋" w:hAnsi="仿宋" w:eastAsia="仿宋_GB2312"/>
          <w:kern w:val="0"/>
          <w:sz w:val="24"/>
          <w:szCs w:val="20"/>
        </w:rPr>
        <w:t>图 6 订单界面---加工信息显示与流程图替换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下面给出实际的轮毂零件在自动生成过程中，订单界面的显示画面。需要说明的是，订单界面显示画面中的相关流程图、状态信息、数据信息都仅为参考，选手应当根据实际的轮毂零件状态信息制作相关画面及显示信息。</w:t>
      </w:r>
    </w:p>
    <w:p>
      <w:pPr>
        <w:rPr>
          <w:rFonts w:ascii="仿宋" w:hAnsi="仿宋" w:eastAsia="仿宋_GB2312" w:cs="宋体"/>
          <w:sz w:val="28"/>
          <w:szCs w:val="21"/>
        </w:rPr>
      </w:pPr>
      <w:r>
        <w:drawing>
          <wp:inline distT="0" distB="0" distL="0" distR="0">
            <wp:extent cx="5472430" cy="473075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5"/>
                    <a:stretch>
                      <a:fillRect/>
                    </a:stretch>
                  </pic:blipFill>
                  <pic:spPr>
                    <a:xfrm>
                      <a:off x="0" y="0"/>
                      <a:ext cx="5472430" cy="4730750"/>
                    </a:xfrm>
                    <a:prstGeom prst="rect">
                      <a:avLst/>
                    </a:prstGeom>
                  </pic:spPr>
                </pic:pic>
              </a:graphicData>
            </a:graphic>
          </wp:inline>
        </w:drawing>
      </w:r>
    </w:p>
    <w:p>
      <w:pPr>
        <w:jc w:val="center"/>
        <w:rPr>
          <w:rFonts w:ascii="仿宋" w:hAnsi="仿宋" w:eastAsia="仿宋_GB2312"/>
          <w:kern w:val="0"/>
          <w:sz w:val="24"/>
          <w:szCs w:val="20"/>
        </w:rPr>
      </w:pPr>
      <w:r>
        <w:rPr>
          <w:rFonts w:hint="eastAsia" w:ascii="仿宋" w:hAnsi="仿宋" w:eastAsia="仿宋_GB2312"/>
          <w:kern w:val="0"/>
          <w:sz w:val="24"/>
          <w:szCs w:val="20"/>
        </w:rPr>
        <w:t>图 7 订单界面---实际生产运行中的加工信息显示与流程图运行状态</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（3）监控界面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①利用 TIA 编程软件，在 WinCC 项目新建界面，可通过“欢迎界面”的相关控件打开画面，且该画面可退回到“欢迎界面”。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②对页面属性和项目运行参数进行设置，使 WinCC 项目在仿真运行时，可以在监控终端（电视）上正常显示，不会出现信息显示不全等问题。</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③对页面控件进行布局和开发，可以实现对表 9 中所示参数进行监控。</w:t>
      </w:r>
    </w:p>
    <w:p>
      <w:pPr>
        <w:rPr>
          <w:rFonts w:ascii="仿宋" w:hAnsi="仿宋" w:eastAsia="仿宋_GB2312" w:cs="宋体"/>
          <w:sz w:val="28"/>
          <w:szCs w:val="21"/>
        </w:rPr>
      </w:pPr>
      <w:r>
        <w:drawing>
          <wp:inline distT="0" distB="0" distL="0" distR="0">
            <wp:extent cx="5472430" cy="4638675"/>
            <wp:effectExtent l="0" t="0" r="0"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6"/>
                    <a:stretch>
                      <a:fillRect/>
                    </a:stretch>
                  </pic:blipFill>
                  <pic:spPr>
                    <a:xfrm>
                      <a:off x="0" y="0"/>
                      <a:ext cx="5472430" cy="4638675"/>
                    </a:xfrm>
                    <a:prstGeom prst="rect">
                      <a:avLst/>
                    </a:prstGeom>
                  </pic:spPr>
                </pic:pic>
              </a:graphicData>
            </a:graphic>
          </wp:inline>
        </w:drawing>
      </w:r>
    </w:p>
    <w:p>
      <w:pPr>
        <w:jc w:val="center"/>
        <w:rPr>
          <w:rFonts w:ascii="仿宋" w:hAnsi="仿宋" w:eastAsia="仿宋_GB2312"/>
          <w:kern w:val="0"/>
          <w:sz w:val="24"/>
          <w:szCs w:val="20"/>
        </w:rPr>
      </w:pPr>
      <w:r>
        <w:rPr>
          <w:rFonts w:hint="eastAsia" w:ascii="仿宋" w:hAnsi="仿宋" w:eastAsia="仿宋_GB2312"/>
          <w:kern w:val="0"/>
          <w:sz w:val="24"/>
          <w:szCs w:val="20"/>
        </w:rPr>
        <w:t>图 8 监控界面</w:t>
      </w:r>
    </w:p>
    <w:p>
      <w:pPr>
        <w:jc w:val="center"/>
        <w:rPr>
          <w:rFonts w:ascii="仿宋" w:hAnsi="仿宋" w:eastAsia="仿宋_GB2312"/>
          <w:kern w:val="0"/>
          <w:sz w:val="24"/>
          <w:szCs w:val="20"/>
        </w:rPr>
      </w:pPr>
      <w:r>
        <w:rPr>
          <w:rFonts w:hint="eastAsia" w:ascii="仿宋" w:hAnsi="仿宋" w:eastAsia="仿宋_GB2312"/>
          <w:kern w:val="0"/>
          <w:sz w:val="24"/>
          <w:szCs w:val="20"/>
        </w:rPr>
        <w:t>表 9 监控参数列表</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2268"/>
        <w:gridCol w:w="34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序号</w:t>
            </w:r>
          </w:p>
        </w:tc>
        <w:tc>
          <w:tcPr>
            <w:tcW w:w="2268"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单元</w:t>
            </w: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1</w:t>
            </w:r>
          </w:p>
        </w:tc>
        <w:tc>
          <w:tcPr>
            <w:tcW w:w="2268"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仓储单元</w:t>
            </w: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各仓位是否存储轮毂零件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2</w:t>
            </w:r>
          </w:p>
        </w:tc>
        <w:tc>
          <w:tcPr>
            <w:tcW w:w="2268" w:type="dxa"/>
            <w:vMerge w:val="restart"/>
            <w:vAlign w:val="center"/>
          </w:tcPr>
          <w:p>
            <w:pPr>
              <w:jc w:val="center"/>
              <w:rPr>
                <w:rFonts w:ascii="仿宋" w:hAnsi="仿宋" w:eastAsia="仿宋_GB2312"/>
                <w:kern w:val="0"/>
                <w:sz w:val="24"/>
                <w:szCs w:val="20"/>
              </w:rPr>
            </w:pPr>
            <w:r>
              <w:rPr>
                <w:rFonts w:hint="eastAsia" w:ascii="仿宋" w:hAnsi="仿宋" w:eastAsia="仿宋_GB2312"/>
                <w:kern w:val="0"/>
                <w:sz w:val="24"/>
                <w:szCs w:val="20"/>
              </w:rPr>
              <w:t>检测单元</w:t>
            </w: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按加工顺序显示轮毂的产品系列信息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3</w:t>
            </w:r>
          </w:p>
        </w:tc>
        <w:tc>
          <w:tcPr>
            <w:tcW w:w="2268" w:type="dxa"/>
            <w:vMerge w:val="continue"/>
            <w:vAlign w:val="center"/>
          </w:tcPr>
          <w:p>
            <w:pPr>
              <w:jc w:val="center"/>
              <w:rPr>
                <w:rFonts w:ascii="仿宋" w:hAnsi="仿宋" w:eastAsia="仿宋_GB2312"/>
                <w:kern w:val="0"/>
                <w:sz w:val="24"/>
                <w:szCs w:val="20"/>
              </w:rPr>
            </w:pP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按加工顺序显示轮毂背面的视觉检测区域 3的颜色检测信息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4</w:t>
            </w:r>
          </w:p>
        </w:tc>
        <w:tc>
          <w:tcPr>
            <w:tcW w:w="2268" w:type="dxa"/>
            <w:vMerge w:val="restart"/>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加工单元</w:t>
            </w: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加工单元主轴 X/Y/Z 坐标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5</w:t>
            </w:r>
          </w:p>
        </w:tc>
        <w:tc>
          <w:tcPr>
            <w:tcW w:w="2268" w:type="dxa"/>
            <w:vMerge w:val="continue"/>
            <w:vAlign w:val="center"/>
          </w:tcPr>
          <w:p>
            <w:pPr>
              <w:jc w:val="center"/>
              <w:rPr>
                <w:rFonts w:ascii="仿宋" w:hAnsi="仿宋" w:eastAsia="仿宋_GB2312"/>
                <w:kern w:val="0"/>
                <w:sz w:val="24"/>
                <w:szCs w:val="20"/>
              </w:rPr>
            </w:pP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主轴转速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6</w:t>
            </w:r>
          </w:p>
        </w:tc>
        <w:tc>
          <w:tcPr>
            <w:tcW w:w="2268" w:type="dxa"/>
            <w:vMerge w:val="continue"/>
            <w:vAlign w:val="center"/>
          </w:tcPr>
          <w:p>
            <w:pPr>
              <w:jc w:val="center"/>
              <w:rPr>
                <w:rFonts w:ascii="仿宋" w:hAnsi="仿宋" w:eastAsia="仿宋_GB2312"/>
                <w:kern w:val="0"/>
                <w:sz w:val="24"/>
                <w:szCs w:val="20"/>
              </w:rPr>
            </w:pP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安全门前门打开/关闭状态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7</w:t>
            </w:r>
          </w:p>
        </w:tc>
        <w:tc>
          <w:tcPr>
            <w:tcW w:w="2268" w:type="dxa"/>
            <w:vMerge w:val="continue"/>
            <w:vAlign w:val="center"/>
          </w:tcPr>
          <w:p>
            <w:pPr>
              <w:jc w:val="center"/>
              <w:rPr>
                <w:rFonts w:ascii="仿宋" w:hAnsi="仿宋" w:eastAsia="仿宋_GB2312"/>
                <w:kern w:val="0"/>
                <w:sz w:val="24"/>
                <w:szCs w:val="20"/>
              </w:rPr>
            </w:pP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安全门后门打开/关闭状态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8</w:t>
            </w:r>
          </w:p>
        </w:tc>
        <w:tc>
          <w:tcPr>
            <w:tcW w:w="2268" w:type="dxa"/>
            <w:vMerge w:val="restart"/>
            <w:vAlign w:val="center"/>
          </w:tcPr>
          <w:p>
            <w:pPr>
              <w:jc w:val="center"/>
              <w:rPr>
                <w:rFonts w:ascii="仿宋" w:hAnsi="仿宋" w:eastAsia="仿宋_GB2312"/>
                <w:kern w:val="0"/>
                <w:sz w:val="24"/>
                <w:szCs w:val="20"/>
              </w:rPr>
            </w:pPr>
            <w:r>
              <w:rPr>
                <w:rFonts w:hint="eastAsia" w:ascii="仿宋" w:hAnsi="仿宋" w:eastAsia="仿宋_GB2312"/>
                <w:kern w:val="0"/>
                <w:sz w:val="24"/>
                <w:szCs w:val="20"/>
              </w:rPr>
              <w:t>打磨单元</w:t>
            </w: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打磨工位是否存储轮毂零件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9</w:t>
            </w:r>
          </w:p>
        </w:tc>
        <w:tc>
          <w:tcPr>
            <w:tcW w:w="2268" w:type="dxa"/>
            <w:vMerge w:val="continue"/>
            <w:vAlign w:val="center"/>
          </w:tcPr>
          <w:p>
            <w:pPr>
              <w:jc w:val="center"/>
              <w:rPr>
                <w:rFonts w:ascii="仿宋" w:hAnsi="仿宋" w:eastAsia="仿宋_GB2312"/>
                <w:kern w:val="0"/>
                <w:sz w:val="24"/>
                <w:szCs w:val="20"/>
              </w:rPr>
            </w:pP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旋转工位是否存储轮毂零件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10</w:t>
            </w:r>
          </w:p>
        </w:tc>
        <w:tc>
          <w:tcPr>
            <w:tcW w:w="2268" w:type="dxa"/>
            <w:vMerge w:val="continue"/>
            <w:vAlign w:val="center"/>
          </w:tcPr>
          <w:p>
            <w:pPr>
              <w:jc w:val="center"/>
              <w:rPr>
                <w:rFonts w:ascii="仿宋" w:hAnsi="仿宋" w:eastAsia="仿宋_GB2312"/>
                <w:kern w:val="0"/>
                <w:sz w:val="24"/>
                <w:szCs w:val="20"/>
              </w:rPr>
            </w:pPr>
          </w:p>
        </w:tc>
        <w:tc>
          <w:tcPr>
            <w:tcW w:w="340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翻转工装当前位置</w:t>
            </w:r>
          </w:p>
        </w:tc>
      </w:tr>
    </w:tbl>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（4）手动界面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①利用 TIA 编程软件，在 WinCC 项目新建界面，可通过“欢迎界面”的相关控件打开画面，且该画面可退回到“欢迎界面”。</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②对页面属性和项目运行参数进行设置，使 WinCC 项目在仿真运行时，可以在监控终端（电视）上正常显示，不会出现信息显示不全等问题。</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 xml:space="preserve">③对页面控件进行布局和开发，可以实现对由总控单元 PLC 板载 IO、各单元的远程 IO 模块、执行单元 PLC 板载 IO 和扩展 IO 模块所控制的电磁阀、伺服电机、传感器等，方便应用平台调试动作配合和在出现危险状态时手动恢复设备。参照下图9所示的手动控件设计必要的远程IO手动操作控件并实现其功能。 </w:t>
      </w:r>
    </w:p>
    <w:p>
      <w:pPr>
        <w:spacing w:line="560" w:lineRule="exact"/>
        <w:ind w:firstLine="562" w:firstLineChars="200"/>
        <w:jc w:val="left"/>
        <w:rPr>
          <w:rFonts w:ascii="仿宋" w:hAnsi="仿宋" w:eastAsia="仿宋_GB2312" w:cs="宋体"/>
          <w:sz w:val="28"/>
          <w:szCs w:val="21"/>
        </w:rPr>
      </w:pPr>
      <w:r>
        <w:rPr>
          <w:rFonts w:hint="eastAsia" w:ascii="仿宋" w:hAnsi="仿宋" w:eastAsia="仿宋_GB2312" w:cs="宋体"/>
          <w:b/>
          <w:bCs/>
          <w:sz w:val="28"/>
          <w:szCs w:val="21"/>
        </w:rPr>
        <w:t>注意：</w:t>
      </w:r>
      <w:r>
        <w:rPr>
          <w:rFonts w:hint="eastAsia" w:ascii="仿宋" w:hAnsi="仿宋" w:eastAsia="仿宋_GB2312" w:cs="宋体"/>
          <w:sz w:val="28"/>
          <w:szCs w:val="21"/>
        </w:rPr>
        <w:t>选手需结合任务书实际任务内容，开发设计相关的手动模块，任务内容未涉及到的手动模块可以不考虑。</w:t>
      </w:r>
    </w:p>
    <w:p>
      <w:pPr>
        <w:rPr>
          <w:rFonts w:ascii="仿宋" w:hAnsi="仿宋" w:eastAsia="仿宋_GB2312" w:cs="宋体"/>
          <w:sz w:val="28"/>
          <w:szCs w:val="21"/>
        </w:rPr>
      </w:pPr>
      <w:r>
        <w:drawing>
          <wp:inline distT="0" distB="0" distL="0" distR="0">
            <wp:extent cx="5472430" cy="309118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7"/>
                    <a:stretch>
                      <a:fillRect/>
                    </a:stretch>
                  </pic:blipFill>
                  <pic:spPr>
                    <a:xfrm>
                      <a:off x="0" y="0"/>
                      <a:ext cx="5472430" cy="3091180"/>
                    </a:xfrm>
                    <a:prstGeom prst="rect">
                      <a:avLst/>
                    </a:prstGeom>
                  </pic:spPr>
                </pic:pic>
              </a:graphicData>
            </a:graphic>
          </wp:inline>
        </w:drawing>
      </w:r>
    </w:p>
    <w:p>
      <w:pPr>
        <w:jc w:val="center"/>
        <w:rPr>
          <w:rFonts w:ascii="仿宋" w:hAnsi="仿宋" w:eastAsia="仿宋_GB2312"/>
          <w:kern w:val="0"/>
          <w:sz w:val="24"/>
          <w:szCs w:val="20"/>
        </w:rPr>
      </w:pPr>
      <w:r>
        <w:rPr>
          <w:rFonts w:hint="eastAsia" w:ascii="仿宋" w:hAnsi="仿宋" w:eastAsia="仿宋_GB2312"/>
          <w:kern w:val="0"/>
          <w:sz w:val="24"/>
          <w:szCs w:val="20"/>
        </w:rPr>
        <w:t>图 9 手动界面</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2.</w:t>
      </w:r>
      <w:r>
        <w:rPr>
          <w:rFonts w:hint="eastAsia" w:ascii="仿宋" w:hAnsi="仿宋" w:eastAsia="仿宋_GB2312" w:cs="宋体"/>
          <w:b/>
          <w:bCs/>
          <w:sz w:val="28"/>
          <w:szCs w:val="21"/>
        </w:rPr>
        <w:t>应用平台初始状态</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在流程开始前和流程结束后，应用平台处于初始状态。初始状态要求如下：</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①工业机器人处于安全姿态，无安装工具。</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②平移滑台处于原点位置。</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③快换工具按照需求摆放稳当。</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④仓储单元所有仓位托盘缩回，指示灯正常点亮。</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⑤加工单元主轴停转，主轴位于机床坐标系原点，数控机床安全门关闭，夹具位于前端并松开。</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⑥打磨单元打磨工位和旋转工位夹具松开，翻转工装位于旋转工位，旋转工位旋转气缸处于原位。</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⑦分拣单元传送带停止，分拣机构所有气缸缩回。</w:t>
      </w:r>
    </w:p>
    <w:p>
      <w:pPr>
        <w:spacing w:line="560" w:lineRule="exact"/>
        <w:ind w:firstLine="562" w:firstLineChars="200"/>
        <w:jc w:val="left"/>
        <w:outlineLvl w:val="1"/>
        <w:rPr>
          <w:rFonts w:ascii="仿宋" w:hAnsi="仿宋" w:eastAsia="仿宋_GB2312" w:cs="宋体"/>
          <w:b/>
          <w:bCs/>
          <w:sz w:val="28"/>
          <w:szCs w:val="21"/>
        </w:rPr>
      </w:pPr>
      <w:r>
        <w:rPr>
          <w:rFonts w:ascii="仿宋" w:hAnsi="仿宋" w:eastAsia="仿宋_GB2312" w:cs="宋体"/>
          <w:b/>
          <w:bCs/>
          <w:sz w:val="28"/>
          <w:szCs w:val="21"/>
        </w:rPr>
        <w:t>3.</w:t>
      </w:r>
      <w:r>
        <w:rPr>
          <w:rFonts w:hint="eastAsia" w:ascii="仿宋" w:hAnsi="仿宋" w:eastAsia="仿宋_GB2312" w:cs="宋体"/>
          <w:b/>
          <w:bCs/>
          <w:sz w:val="28"/>
          <w:szCs w:val="21"/>
        </w:rPr>
        <w:t>定制化生产自动化流程</w:t>
      </w:r>
    </w:p>
    <w:p>
      <w:pPr>
        <w:spacing w:line="560" w:lineRule="exact"/>
        <w:ind w:firstLine="560" w:firstLineChars="200"/>
        <w:jc w:val="left"/>
        <w:outlineLvl w:val="1"/>
        <w:rPr>
          <w:rFonts w:ascii="仿宋" w:hAnsi="仿宋" w:eastAsia="仿宋_GB2312" w:cs="宋体"/>
          <w:sz w:val="28"/>
          <w:szCs w:val="21"/>
        </w:rPr>
      </w:pPr>
      <w:r>
        <w:rPr>
          <w:rFonts w:hint="eastAsia" w:ascii="仿宋" w:hAnsi="仿宋" w:eastAsia="仿宋_GB2312" w:cs="宋体"/>
          <w:sz w:val="28"/>
          <w:szCs w:val="21"/>
        </w:rPr>
        <w:t>通过 WinCC 的订单界面直接进入定制化生产流程。</w:t>
      </w:r>
    </w:p>
    <w:p>
      <w:pPr>
        <w:spacing w:line="560" w:lineRule="exact"/>
        <w:ind w:firstLine="560" w:firstLineChars="200"/>
        <w:jc w:val="left"/>
        <w:outlineLvl w:val="1"/>
        <w:rPr>
          <w:rFonts w:ascii="仿宋" w:hAnsi="仿宋" w:eastAsia="仿宋_GB2312" w:cs="宋体"/>
          <w:sz w:val="28"/>
          <w:szCs w:val="21"/>
        </w:rPr>
      </w:pPr>
      <w:r>
        <w:rPr>
          <w:rFonts w:hint="eastAsia" w:ascii="仿宋" w:hAnsi="仿宋" w:eastAsia="仿宋_GB2312" w:cs="宋体"/>
          <w:sz w:val="28"/>
          <w:szCs w:val="21"/>
        </w:rPr>
        <w:t>①在 WinCC 的“订单界面”中，点击“开始自动生产”按钮。</w:t>
      </w:r>
    </w:p>
    <w:p>
      <w:pPr>
        <w:spacing w:line="560" w:lineRule="exact"/>
        <w:ind w:firstLine="560" w:firstLineChars="200"/>
        <w:jc w:val="left"/>
        <w:outlineLvl w:val="1"/>
        <w:rPr>
          <w:rFonts w:ascii="仿宋" w:hAnsi="仿宋" w:eastAsia="仿宋_GB2312" w:cs="宋体"/>
          <w:sz w:val="28"/>
          <w:szCs w:val="21"/>
        </w:rPr>
      </w:pPr>
      <w:r>
        <w:rPr>
          <w:rFonts w:hint="eastAsia" w:ascii="仿宋" w:hAnsi="仿宋" w:eastAsia="仿宋_GB2312" w:cs="宋体"/>
          <w:sz w:val="28"/>
          <w:szCs w:val="21"/>
        </w:rPr>
        <w:t>②总控单元三色灯仅绿色灯常亮，根据任务书工艺流程图开始 6 个轮毂零件的生产工艺流程。每个轮毂从仓位取出到放回仓位算一个流程，单独评分。</w:t>
      </w:r>
    </w:p>
    <w:p>
      <w:pPr>
        <w:spacing w:line="560" w:lineRule="exact"/>
        <w:ind w:firstLine="560" w:firstLineChars="200"/>
        <w:jc w:val="left"/>
        <w:outlineLvl w:val="1"/>
        <w:rPr>
          <w:rFonts w:ascii="仿宋" w:hAnsi="仿宋" w:eastAsia="仿宋_GB2312" w:cs="宋体"/>
          <w:sz w:val="28"/>
          <w:szCs w:val="21"/>
        </w:rPr>
      </w:pPr>
      <w:r>
        <w:rPr>
          <w:rFonts w:hint="eastAsia" w:ascii="仿宋" w:hAnsi="仿宋" w:eastAsia="仿宋_GB2312" w:cs="宋体"/>
          <w:sz w:val="28"/>
          <w:szCs w:val="21"/>
        </w:rPr>
        <w:t>③完成所有流程后，总控单元三色灯仅黄色灯常亮。</w:t>
      </w:r>
    </w:p>
    <w:p>
      <w:pPr>
        <w:spacing w:line="560" w:lineRule="exact"/>
        <w:ind w:firstLine="562" w:firstLineChars="200"/>
        <w:jc w:val="left"/>
        <w:outlineLvl w:val="1"/>
        <w:rPr>
          <w:rFonts w:ascii="仿宋" w:hAnsi="仿宋" w:eastAsia="仿宋_GB2312" w:cs="宋体"/>
          <w:sz w:val="28"/>
          <w:szCs w:val="21"/>
        </w:rPr>
      </w:pPr>
      <w:r>
        <w:rPr>
          <w:rFonts w:hint="eastAsia" w:ascii="仿宋" w:hAnsi="仿宋" w:eastAsia="仿宋_GB2312" w:cs="宋体"/>
          <w:b/>
          <w:bCs/>
          <w:sz w:val="28"/>
          <w:szCs w:val="21"/>
        </w:rPr>
        <w:t>要求：</w:t>
      </w:r>
      <w:r>
        <w:rPr>
          <w:rFonts w:hint="eastAsia" w:ascii="仿宋" w:hAnsi="仿宋" w:eastAsia="仿宋_GB2312" w:cs="宋体"/>
          <w:sz w:val="28"/>
          <w:szCs w:val="21"/>
        </w:rPr>
        <w:t>工业机器人可保持在手动状态，程序开始执行后未通过任何人工干预完成所有既定内容才算为完整流畅过程。</w:t>
      </w:r>
    </w:p>
    <w:p>
      <w:pPr>
        <w:spacing w:line="560" w:lineRule="exact"/>
        <w:ind w:firstLine="560" w:firstLineChars="200"/>
        <w:jc w:val="left"/>
        <w:rPr>
          <w:rFonts w:ascii="仿宋" w:hAnsi="仿宋" w:eastAsia="仿宋_GB2312" w:cs="宋体"/>
          <w:sz w:val="28"/>
          <w:szCs w:val="21"/>
        </w:rPr>
      </w:pPr>
    </w:p>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任务五</w:t>
      </w:r>
      <w:r>
        <w:rPr>
          <w:rFonts w:ascii="仿宋" w:hAnsi="仿宋" w:eastAsia="仿宋"/>
          <w:b/>
          <w:kern w:val="44"/>
          <w:sz w:val="32"/>
          <w:szCs w:val="15"/>
        </w:rPr>
        <w:t xml:space="preserve"> </w:t>
      </w:r>
      <w:r>
        <w:rPr>
          <w:rFonts w:hint="eastAsia" w:ascii="仿宋" w:hAnsi="仿宋" w:eastAsia="仿宋"/>
          <w:b/>
          <w:kern w:val="44"/>
          <w:sz w:val="32"/>
          <w:szCs w:val="15"/>
        </w:rPr>
        <w:t>云端数据服务的调试</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云端数据上传调试，选手可自行决定选择 C 脚本还是 VB 脚本（二选一）。</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（一） C 脚本</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（1）利用TIA 编程软件，在WinCC项目添加“ChlrobCommonHeader.h”头文件到运行系统脚本中，所需头文件和库文件已复制到电脑的路径中，设置“C 脚本的其他 INCLUDE 路径”为“C:\Program Files(X86)\Siemens\Automation\SCADA-RT_V11\WinCC\aplib”。</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（2）利用 TIA 编程软件，在 WinCC 项目添加 C 脚本文件，并在计划任务中增加定时触发 C 脚本事件，触发器周期为 500ms。</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（3）对 C 脚本程序进行开发，建立与云数据服务器的连接，其中服务器参数（WebServiceArea）为 0、竞赛编号（CompetitionCode）为 GZ2019010、设备编号为 GZ2019010ABCD，其中 AB 为场次号（01/02/03/04…）、CD 为赛位号（01/02/03/04…），密码（PassWord）为 123456。</w:t>
      </w:r>
    </w:p>
    <w:p>
      <w:pPr>
        <w:jc w:val="center"/>
        <w:rPr>
          <w:rFonts w:ascii="仿宋" w:hAnsi="仿宋" w:eastAsia="仿宋_GB2312"/>
          <w:kern w:val="0"/>
          <w:sz w:val="24"/>
          <w:szCs w:val="20"/>
        </w:rPr>
      </w:pPr>
      <w:r>
        <w:rPr>
          <w:rFonts w:hint="eastAsia" w:ascii="仿宋" w:hAnsi="仿宋" w:eastAsia="仿宋_GB2312"/>
          <w:kern w:val="0"/>
          <w:sz w:val="24"/>
          <w:szCs w:val="20"/>
        </w:rPr>
        <w:t>表 10 云数据服务器参数</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4"/>
        <w:gridCol w:w="2472"/>
        <w:gridCol w:w="1914"/>
        <w:gridCol w:w="36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80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序号</w:t>
            </w:r>
          </w:p>
        </w:tc>
        <w:tc>
          <w:tcPr>
            <w:tcW w:w="247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参数项</w:t>
            </w:r>
          </w:p>
        </w:tc>
        <w:tc>
          <w:tcPr>
            <w:tcW w:w="191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参数类型</w:t>
            </w:r>
          </w:p>
        </w:tc>
        <w:tc>
          <w:tcPr>
            <w:tcW w:w="368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80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1</w:t>
            </w:r>
          </w:p>
        </w:tc>
        <w:tc>
          <w:tcPr>
            <w:tcW w:w="247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服务器参数（</w:t>
            </w:r>
            <w:r>
              <w:rPr>
                <w:rFonts w:ascii="仿宋" w:hAnsi="仿宋" w:eastAsia="仿宋_GB2312"/>
                <w:kern w:val="0"/>
                <w:sz w:val="24"/>
                <w:szCs w:val="20"/>
              </w:rPr>
              <w:t>WebServiceArea</w:t>
            </w:r>
            <w:r>
              <w:rPr>
                <w:rFonts w:hint="eastAsia" w:ascii="仿宋" w:hAnsi="仿宋" w:eastAsia="仿宋_GB2312"/>
                <w:kern w:val="0"/>
                <w:sz w:val="24"/>
                <w:szCs w:val="20"/>
              </w:rPr>
              <w:t>）</w:t>
            </w:r>
          </w:p>
        </w:tc>
        <w:tc>
          <w:tcPr>
            <w:tcW w:w="1914" w:type="dxa"/>
            <w:vAlign w:val="center"/>
          </w:tcPr>
          <w:p>
            <w:pPr>
              <w:jc w:val="center"/>
              <w:rPr>
                <w:rFonts w:ascii="仿宋" w:hAnsi="仿宋" w:eastAsia="仿宋_GB2312"/>
                <w:kern w:val="0"/>
                <w:sz w:val="24"/>
                <w:szCs w:val="20"/>
              </w:rPr>
            </w:pPr>
            <w:r>
              <w:rPr>
                <w:rFonts w:ascii="仿宋" w:hAnsi="仿宋" w:eastAsia="仿宋_GB2312"/>
                <w:kern w:val="0"/>
                <w:sz w:val="24"/>
                <w:szCs w:val="20"/>
              </w:rPr>
              <w:t>int</w:t>
            </w:r>
          </w:p>
        </w:tc>
        <w:tc>
          <w:tcPr>
            <w:tcW w:w="3686" w:type="dxa"/>
            <w:vAlign w:val="center"/>
          </w:tcPr>
          <w:p>
            <w:pPr>
              <w:jc w:val="center"/>
              <w:rPr>
                <w:rFonts w:ascii="仿宋" w:hAnsi="仿宋" w:eastAsia="仿宋_GB2312"/>
                <w:kern w:val="0"/>
                <w:sz w:val="24"/>
                <w:szCs w:val="20"/>
              </w:rPr>
            </w:pPr>
            <w:r>
              <w:rPr>
                <w:rFonts w:ascii="仿宋" w:hAnsi="仿宋" w:eastAsia="仿宋_GB2312"/>
                <w:kern w:val="0"/>
                <w:sz w:val="24"/>
                <w:szCs w:val="2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80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2</w:t>
            </w:r>
          </w:p>
        </w:tc>
        <w:tc>
          <w:tcPr>
            <w:tcW w:w="247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竞赛编号（</w:t>
            </w:r>
            <w:r>
              <w:rPr>
                <w:rFonts w:ascii="仿宋" w:hAnsi="仿宋" w:eastAsia="仿宋_GB2312"/>
                <w:kern w:val="0"/>
                <w:sz w:val="24"/>
                <w:szCs w:val="20"/>
              </w:rPr>
              <w:t>CompetitionCode</w:t>
            </w:r>
            <w:r>
              <w:rPr>
                <w:rFonts w:hint="eastAsia" w:ascii="仿宋" w:hAnsi="仿宋" w:eastAsia="仿宋_GB2312"/>
                <w:kern w:val="0"/>
                <w:sz w:val="24"/>
                <w:szCs w:val="20"/>
              </w:rPr>
              <w:t>）</w:t>
            </w:r>
          </w:p>
        </w:tc>
        <w:tc>
          <w:tcPr>
            <w:tcW w:w="1914" w:type="dxa"/>
            <w:vAlign w:val="center"/>
          </w:tcPr>
          <w:p>
            <w:pPr>
              <w:jc w:val="center"/>
              <w:rPr>
                <w:rFonts w:ascii="仿宋" w:hAnsi="仿宋" w:eastAsia="仿宋_GB2312"/>
                <w:kern w:val="0"/>
                <w:sz w:val="24"/>
                <w:szCs w:val="20"/>
              </w:rPr>
            </w:pPr>
            <w:r>
              <w:rPr>
                <w:rFonts w:ascii="仿宋" w:hAnsi="仿宋" w:eastAsia="仿宋_GB2312"/>
                <w:kern w:val="0"/>
                <w:sz w:val="24"/>
                <w:szCs w:val="20"/>
              </w:rPr>
              <w:t>char*</w:t>
            </w:r>
          </w:p>
        </w:tc>
        <w:tc>
          <w:tcPr>
            <w:tcW w:w="3686" w:type="dxa"/>
            <w:vAlign w:val="center"/>
          </w:tcPr>
          <w:p>
            <w:pPr>
              <w:jc w:val="center"/>
              <w:rPr>
                <w:rFonts w:ascii="仿宋" w:hAnsi="仿宋" w:eastAsia="仿宋_GB2312"/>
                <w:kern w:val="0"/>
                <w:sz w:val="24"/>
                <w:szCs w:val="20"/>
              </w:rPr>
            </w:pPr>
            <w:r>
              <w:rPr>
                <w:rFonts w:ascii="仿宋" w:hAnsi="仿宋" w:eastAsia="仿宋_GB2312"/>
                <w:kern w:val="0"/>
                <w:sz w:val="24"/>
                <w:szCs w:val="20"/>
              </w:rPr>
              <w:t>GZ2019010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80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3</w:t>
            </w:r>
          </w:p>
        </w:tc>
        <w:tc>
          <w:tcPr>
            <w:tcW w:w="247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设备编号</w:t>
            </w:r>
          </w:p>
        </w:tc>
        <w:tc>
          <w:tcPr>
            <w:tcW w:w="1914" w:type="dxa"/>
            <w:vAlign w:val="center"/>
          </w:tcPr>
          <w:p>
            <w:pPr>
              <w:jc w:val="center"/>
              <w:rPr>
                <w:rFonts w:ascii="仿宋" w:hAnsi="仿宋" w:eastAsia="仿宋_GB2312"/>
                <w:kern w:val="0"/>
                <w:sz w:val="24"/>
                <w:szCs w:val="20"/>
              </w:rPr>
            </w:pPr>
            <w:r>
              <w:rPr>
                <w:rFonts w:ascii="仿宋" w:hAnsi="仿宋" w:eastAsia="仿宋_GB2312"/>
                <w:kern w:val="0"/>
                <w:sz w:val="24"/>
                <w:szCs w:val="20"/>
              </w:rPr>
              <w:t>char*</w:t>
            </w:r>
          </w:p>
        </w:tc>
        <w:tc>
          <w:tcPr>
            <w:tcW w:w="3686" w:type="dxa"/>
            <w:vAlign w:val="center"/>
          </w:tcPr>
          <w:p>
            <w:pPr>
              <w:jc w:val="center"/>
              <w:rPr>
                <w:rFonts w:ascii="仿宋" w:hAnsi="仿宋" w:eastAsia="仿宋_GB2312"/>
                <w:kern w:val="0"/>
                <w:sz w:val="24"/>
                <w:szCs w:val="20"/>
              </w:rPr>
            </w:pPr>
            <w:r>
              <w:rPr>
                <w:rFonts w:ascii="仿宋" w:hAnsi="仿宋" w:eastAsia="仿宋_GB2312"/>
                <w:kern w:val="0"/>
                <w:sz w:val="24"/>
                <w:szCs w:val="20"/>
              </w:rPr>
              <w:t>GZ2019010ABCD</w:t>
            </w:r>
          </w:p>
          <w:p>
            <w:pPr>
              <w:jc w:val="center"/>
              <w:rPr>
                <w:rFonts w:ascii="仿宋" w:hAnsi="仿宋" w:eastAsia="仿宋_GB2312"/>
                <w:kern w:val="0"/>
                <w:sz w:val="24"/>
                <w:szCs w:val="20"/>
              </w:rPr>
            </w:pPr>
            <w:r>
              <w:rPr>
                <w:rFonts w:hint="eastAsia" w:ascii="仿宋" w:hAnsi="仿宋" w:eastAsia="仿宋_GB2312"/>
                <w:kern w:val="0"/>
                <w:sz w:val="24"/>
                <w:szCs w:val="20"/>
              </w:rPr>
              <w:t>其中</w:t>
            </w:r>
            <w:r>
              <w:rPr>
                <w:rFonts w:ascii="仿宋" w:hAnsi="仿宋" w:eastAsia="仿宋_GB2312"/>
                <w:kern w:val="0"/>
                <w:sz w:val="24"/>
                <w:szCs w:val="20"/>
              </w:rPr>
              <w:t>AB</w:t>
            </w:r>
            <w:r>
              <w:rPr>
                <w:rFonts w:hint="eastAsia" w:ascii="仿宋" w:hAnsi="仿宋" w:eastAsia="仿宋_GB2312"/>
                <w:kern w:val="0"/>
                <w:sz w:val="24"/>
                <w:szCs w:val="20"/>
              </w:rPr>
              <w:t>为场次号（</w:t>
            </w:r>
            <w:r>
              <w:rPr>
                <w:rFonts w:ascii="仿宋" w:hAnsi="仿宋" w:eastAsia="仿宋_GB2312"/>
                <w:kern w:val="0"/>
                <w:sz w:val="24"/>
                <w:szCs w:val="20"/>
              </w:rPr>
              <w:t>01/02/03/04</w:t>
            </w:r>
            <w:r>
              <w:rPr>
                <w:rFonts w:hint="eastAsia" w:ascii="仿宋" w:hAnsi="仿宋" w:eastAsia="仿宋_GB2312"/>
                <w:kern w:val="0"/>
                <w:sz w:val="24"/>
                <w:szCs w:val="20"/>
              </w:rPr>
              <w:t>）</w:t>
            </w:r>
            <w:r>
              <w:rPr>
                <w:rFonts w:ascii="仿宋" w:hAnsi="仿宋" w:eastAsia="仿宋_GB2312"/>
                <w:kern w:val="0"/>
                <w:sz w:val="24"/>
                <w:szCs w:val="20"/>
              </w:rPr>
              <w:t>CD</w:t>
            </w:r>
            <w:r>
              <w:rPr>
                <w:rFonts w:hint="eastAsia" w:ascii="仿宋" w:hAnsi="仿宋" w:eastAsia="仿宋_GB2312"/>
                <w:kern w:val="0"/>
                <w:sz w:val="24"/>
                <w:szCs w:val="20"/>
              </w:rPr>
              <w:t>为赛位号（</w:t>
            </w:r>
            <w:r>
              <w:rPr>
                <w:rFonts w:ascii="仿宋" w:hAnsi="仿宋" w:eastAsia="仿宋_GB2312"/>
                <w:kern w:val="0"/>
                <w:sz w:val="24"/>
                <w:szCs w:val="20"/>
              </w:rPr>
              <w:t>01/02/03/04</w:t>
            </w:r>
            <w:r>
              <w:rPr>
                <w:rFonts w:hint="eastAsia" w:ascii="仿宋" w:hAnsi="仿宋" w:eastAsia="仿宋_GB2312"/>
                <w:kern w:val="0"/>
                <w:sz w:val="24"/>
                <w:szCs w:val="20"/>
              </w:rPr>
              <w:t>…</w:t>
            </w:r>
            <w:r>
              <w:rPr>
                <w:rFonts w:ascii="仿宋" w:hAnsi="仿宋" w:eastAsia="仿宋_GB2312"/>
                <w:kern w:val="0"/>
                <w:sz w:val="24"/>
                <w:szCs w:val="20"/>
              </w:rPr>
              <w:t>/20</w:t>
            </w:r>
            <w:r>
              <w:rPr>
                <w:rFonts w:hint="eastAsia" w:ascii="仿宋" w:hAnsi="仿宋" w:eastAsia="仿宋_GB2312"/>
                <w:kern w:val="0"/>
                <w:sz w:val="24"/>
                <w:szCs w:val="2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80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4</w:t>
            </w:r>
          </w:p>
        </w:tc>
        <w:tc>
          <w:tcPr>
            <w:tcW w:w="2472"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密码（</w:t>
            </w:r>
            <w:r>
              <w:rPr>
                <w:rFonts w:ascii="仿宋" w:hAnsi="仿宋" w:eastAsia="仿宋_GB2312"/>
                <w:kern w:val="0"/>
                <w:sz w:val="24"/>
                <w:szCs w:val="20"/>
              </w:rPr>
              <w:t>PassWord</w:t>
            </w:r>
            <w:r>
              <w:rPr>
                <w:rFonts w:hint="eastAsia" w:ascii="仿宋" w:hAnsi="仿宋" w:eastAsia="仿宋_GB2312"/>
                <w:kern w:val="0"/>
                <w:sz w:val="24"/>
                <w:szCs w:val="20"/>
              </w:rPr>
              <w:t>）</w:t>
            </w:r>
          </w:p>
        </w:tc>
        <w:tc>
          <w:tcPr>
            <w:tcW w:w="1914" w:type="dxa"/>
            <w:vAlign w:val="center"/>
          </w:tcPr>
          <w:p>
            <w:pPr>
              <w:jc w:val="center"/>
              <w:rPr>
                <w:rFonts w:ascii="仿宋" w:hAnsi="仿宋" w:eastAsia="仿宋_GB2312"/>
                <w:kern w:val="0"/>
                <w:sz w:val="24"/>
                <w:szCs w:val="20"/>
              </w:rPr>
            </w:pPr>
            <w:r>
              <w:rPr>
                <w:rFonts w:ascii="仿宋" w:hAnsi="仿宋" w:eastAsia="仿宋_GB2312"/>
                <w:kern w:val="0"/>
                <w:sz w:val="24"/>
                <w:szCs w:val="20"/>
              </w:rPr>
              <w:t>char*</w:t>
            </w:r>
          </w:p>
        </w:tc>
        <w:tc>
          <w:tcPr>
            <w:tcW w:w="3686" w:type="dxa"/>
            <w:vAlign w:val="center"/>
          </w:tcPr>
          <w:p>
            <w:pPr>
              <w:jc w:val="center"/>
              <w:rPr>
                <w:rFonts w:ascii="仿宋" w:hAnsi="仿宋" w:eastAsia="仿宋_GB2312"/>
                <w:kern w:val="0"/>
                <w:sz w:val="24"/>
                <w:szCs w:val="20"/>
              </w:rPr>
            </w:pPr>
            <w:r>
              <w:rPr>
                <w:rFonts w:ascii="仿宋" w:hAnsi="仿宋" w:eastAsia="仿宋_GB2312"/>
                <w:kern w:val="0"/>
                <w:sz w:val="24"/>
                <w:szCs w:val="20"/>
              </w:rPr>
              <w:t>123456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804"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5</w:t>
            </w:r>
          </w:p>
        </w:tc>
        <w:tc>
          <w:tcPr>
            <w:tcW w:w="2472" w:type="dxa"/>
            <w:vAlign w:val="center"/>
          </w:tcPr>
          <w:p>
            <w:pPr>
              <w:jc w:val="center"/>
              <w:rPr>
                <w:rFonts w:ascii="仿宋" w:hAnsi="仿宋" w:eastAsia="仿宋_GB2312"/>
                <w:kern w:val="0"/>
                <w:sz w:val="24"/>
                <w:szCs w:val="20"/>
              </w:rPr>
            </w:pPr>
            <w:r>
              <w:rPr>
                <w:rFonts w:ascii="仿宋" w:hAnsi="仿宋" w:eastAsia="仿宋_GB2312"/>
                <w:kern w:val="0"/>
                <w:sz w:val="24"/>
                <w:szCs w:val="20"/>
              </w:rPr>
              <w:t>Parameter</w:t>
            </w:r>
          </w:p>
        </w:tc>
        <w:tc>
          <w:tcPr>
            <w:tcW w:w="1914" w:type="dxa"/>
            <w:vAlign w:val="center"/>
          </w:tcPr>
          <w:p>
            <w:pPr>
              <w:jc w:val="center"/>
              <w:rPr>
                <w:rFonts w:ascii="仿宋" w:hAnsi="仿宋" w:eastAsia="仿宋_GB2312"/>
                <w:kern w:val="0"/>
                <w:sz w:val="24"/>
                <w:szCs w:val="20"/>
              </w:rPr>
            </w:pPr>
            <w:r>
              <w:rPr>
                <w:rFonts w:ascii="仿宋" w:hAnsi="仿宋" w:eastAsia="仿宋_GB2312"/>
                <w:kern w:val="0"/>
                <w:sz w:val="24"/>
                <w:szCs w:val="20"/>
              </w:rPr>
              <w:t>ChlrobModule</w:t>
            </w:r>
          </w:p>
        </w:tc>
        <w:tc>
          <w:tcPr>
            <w:tcW w:w="3686"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上传参数结构体</w:t>
            </w:r>
          </w:p>
        </w:tc>
      </w:tr>
    </w:tbl>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t>4.</w:t>
      </w:r>
      <w:r>
        <w:rPr>
          <w:rFonts w:hint="eastAsia"/>
        </w:rPr>
        <w:t xml:space="preserve"> </w:t>
      </w:r>
      <w:r>
        <w:rPr>
          <w:rFonts w:hint="eastAsia" w:ascii="仿宋" w:hAnsi="仿宋" w:eastAsia="仿宋_GB2312" w:cs="宋体"/>
          <w:sz w:val="28"/>
          <w:szCs w:val="21"/>
        </w:rPr>
        <w:t>对 C 脚本程序进行开发，将 WinCC 项目中所采集到参数信息汇总后上传到云数据服务器，要求上传信息如表 11 所示。</w:t>
      </w:r>
    </w:p>
    <w:p>
      <w:pPr>
        <w:keepNext/>
        <w:widowControl/>
        <w:spacing w:before="120"/>
        <w:jc w:val="center"/>
        <w:rPr>
          <w:rFonts w:ascii="Arial Narrow" w:hAnsi="Arial Narrow" w:eastAsia="仿宋_GB2312" w:cs="宋体"/>
          <w:sz w:val="24"/>
          <w:szCs w:val="21"/>
        </w:rPr>
      </w:pPr>
      <w:bookmarkStart w:id="7" w:name="_Ref514917375"/>
      <w:r>
        <w:rPr>
          <w:rFonts w:hint="eastAsia" w:ascii="Arial Narrow" w:hAnsi="仿宋" w:eastAsia="仿宋_GB2312" w:cs="宋体"/>
          <w:sz w:val="24"/>
          <w:szCs w:val="21"/>
        </w:rPr>
        <w:t>表</w:t>
      </w:r>
      <w:bookmarkEnd w:id="7"/>
      <w:r>
        <w:rPr>
          <w:rFonts w:hint="eastAsia" w:ascii="Arial Narrow" w:hAnsi="Arial Narrow" w:eastAsia="仿宋_GB2312" w:cs="宋体"/>
          <w:sz w:val="24"/>
          <w:szCs w:val="21"/>
        </w:rPr>
        <w:t>11</w:t>
      </w:r>
      <w:r>
        <w:rPr>
          <w:rFonts w:ascii="Arial Narrow" w:hAnsi="Arial Narrow" w:eastAsia="仿宋_GB2312" w:cs="宋体"/>
          <w:sz w:val="24"/>
          <w:szCs w:val="21"/>
        </w:rPr>
        <w:t xml:space="preserve"> </w:t>
      </w:r>
      <w:r>
        <w:rPr>
          <w:rFonts w:hint="eastAsia" w:ascii="Arial Narrow" w:hAnsi="仿宋" w:eastAsia="仿宋_GB2312" w:cs="宋体"/>
          <w:sz w:val="24"/>
          <w:szCs w:val="21"/>
        </w:rPr>
        <w:t>上传参数列表</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0"/>
        <w:gridCol w:w="2268"/>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0"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序号</w:t>
            </w:r>
          </w:p>
        </w:tc>
        <w:tc>
          <w:tcPr>
            <w:tcW w:w="2268"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单元</w:t>
            </w:r>
          </w:p>
        </w:tc>
        <w:tc>
          <w:tcPr>
            <w:tcW w:w="3685"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参数项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0" w:type="dxa"/>
            <w:vAlign w:val="center"/>
          </w:tcPr>
          <w:p>
            <w:pPr>
              <w:jc w:val="center"/>
              <w:rPr>
                <w:rFonts w:ascii="仿宋" w:hAnsi="仿宋" w:eastAsia="仿宋_GB2312"/>
                <w:kern w:val="0"/>
                <w:sz w:val="24"/>
                <w:szCs w:val="20"/>
              </w:rPr>
            </w:pPr>
            <w:r>
              <w:rPr>
                <w:rFonts w:ascii="仿宋" w:hAnsi="仿宋" w:eastAsia="仿宋_GB2312"/>
                <w:kern w:val="0"/>
                <w:sz w:val="24"/>
                <w:szCs w:val="20"/>
              </w:rPr>
              <w:t>1</w:t>
            </w:r>
          </w:p>
        </w:tc>
        <w:tc>
          <w:tcPr>
            <w:tcW w:w="2268"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仓储单元</w:t>
            </w:r>
          </w:p>
        </w:tc>
        <w:tc>
          <w:tcPr>
            <w:tcW w:w="3685" w:type="dxa"/>
            <w:vAlign w:val="center"/>
          </w:tcPr>
          <w:p>
            <w:pPr>
              <w:jc w:val="center"/>
              <w:rPr>
                <w:rFonts w:ascii="仿宋" w:hAnsi="仿宋" w:eastAsia="仿宋_GB2312"/>
                <w:kern w:val="0"/>
                <w:sz w:val="24"/>
                <w:szCs w:val="20"/>
              </w:rPr>
            </w:pPr>
            <w:r>
              <w:rPr>
                <w:rFonts w:hint="eastAsia" w:ascii="仿宋" w:hAnsi="仿宋" w:eastAsia="仿宋_GB2312"/>
                <w:kern w:val="0"/>
                <w:sz w:val="24"/>
                <w:szCs w:val="20"/>
              </w:rPr>
              <w:t>各仓位是否存储轮毂零件</w:t>
            </w:r>
          </w:p>
        </w:tc>
      </w:tr>
    </w:tbl>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（5）打开移动终端（平板）中的监控 APP，点击软件右上角齿轮图标打开“设置”-“服务器”，选择“本地”，点击“当前设备-未登录”后根据表 10 利用本赛位的设备编号和密码登录，返回到“设置”在“竞赛列表”中选择本次竞赛编号，回到主画面测试监控数据是否正常。</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（二） VB 脚本</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（1）点击系统左下角搜索框，输入 cmd→右键点击“命令提示符”，选择“以管 理 员 身 份 运 行 ” → 在 命 令 提 示 符 中 输入 regsvr32 "C:\Program</w:t>
      </w:r>
      <w:r>
        <w:rPr>
          <w:rFonts w:ascii="仿宋" w:hAnsi="仿宋" w:eastAsia="仿宋_GB2312" w:cs="宋体"/>
          <w:sz w:val="28"/>
          <w:szCs w:val="21"/>
        </w:rPr>
        <w:t>Files(X86)\Siemens\Automation\SCADA-RT_V15\WinCC\aplib\DS_11_WinCC_DLL</w:t>
      </w:r>
      <w:r>
        <w:rPr>
          <w:rFonts w:hint="eastAsia" w:ascii="仿宋" w:hAnsi="仿宋" w:eastAsia="仿宋_GB2312" w:cs="宋体"/>
          <w:sz w:val="28"/>
          <w:szCs w:val="21"/>
        </w:rPr>
        <w:t>_VB.dll"→点击回车提示注册成功。</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（2）利用 TIA 编程软件，在 WinCC 项目添加 VB 脚本文件，可通过计划任务中增加定时触发 VB 脚本事件（触发器周期为 500ms）或在 VB 脚本中实现无条件循环，实现数据采集与上传程序持续运行。</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（3）对 VB 脚本程序进行开发，建立与云数据服务器的连接，其中服务器参数（WebServiceArea）为0、竞赛编号（CompetitionCode）为GZ2019010、设备编号为 GZ2019010ABCD，其中 AB 为场次号（01/02/03/04…）、CD 为赛位号（01/02/03/04…），密码（PassWord）为 123456。</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（4）对 VB 脚本程序进行开发，将 WinCC 项目中所采集到参数信息汇总后上传到云数据服务器，要求上传信息如表 11 所示。</w:t>
      </w:r>
    </w:p>
    <w:p>
      <w:pPr>
        <w:spacing w:line="560" w:lineRule="exact"/>
        <w:ind w:firstLine="560" w:firstLineChars="200"/>
        <w:jc w:val="left"/>
        <w:rPr>
          <w:rFonts w:ascii="仿宋" w:hAnsi="仿宋" w:eastAsia="仿宋_GB2312" w:cs="宋体"/>
          <w:sz w:val="28"/>
          <w:szCs w:val="21"/>
        </w:rPr>
      </w:pPr>
      <w:r>
        <w:rPr>
          <w:rFonts w:hint="eastAsia" w:ascii="仿宋" w:hAnsi="仿宋" w:eastAsia="仿宋_GB2312" w:cs="宋体"/>
          <w:sz w:val="28"/>
          <w:szCs w:val="21"/>
        </w:rPr>
        <w:t>（5）打开移动终端（平板）中的监控 APP，点击软件右上角齿轮图标打开“设置”-“服务器”，选择“本地”，点击“当前设备-未登录”后根据表 10 利用本赛位的设备编号和密码登录，返回到“设置”在“竞赛列表”中选择本次竞赛编号，回到主画面测试监控数据是否正常。</w:t>
      </w:r>
    </w:p>
    <w:p>
      <w:pPr>
        <w:spacing w:line="560" w:lineRule="exact"/>
        <w:ind w:firstLine="560" w:firstLineChars="200"/>
        <w:jc w:val="left"/>
        <w:rPr>
          <w:rFonts w:ascii="仿宋" w:hAnsi="仿宋" w:eastAsia="仿宋_GB2312" w:cs="宋体"/>
          <w:sz w:val="28"/>
          <w:szCs w:val="21"/>
        </w:rPr>
      </w:pPr>
    </w:p>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任务六</w:t>
      </w:r>
      <w:r>
        <w:rPr>
          <w:rFonts w:ascii="仿宋" w:hAnsi="仿宋" w:eastAsia="仿宋"/>
          <w:b/>
          <w:kern w:val="44"/>
          <w:sz w:val="32"/>
          <w:szCs w:val="15"/>
        </w:rPr>
        <w:t xml:space="preserve"> </w:t>
      </w:r>
      <w:r>
        <w:rPr>
          <w:rFonts w:hint="eastAsia" w:ascii="仿宋" w:hAnsi="仿宋" w:eastAsia="仿宋"/>
          <w:b/>
          <w:kern w:val="44"/>
          <w:sz w:val="32"/>
          <w:szCs w:val="15"/>
        </w:rPr>
        <w:t>职业素养</w:t>
      </w:r>
    </w:p>
    <w:p>
      <w:pPr>
        <w:spacing w:line="560" w:lineRule="exact"/>
        <w:ind w:firstLine="560" w:firstLineChars="200"/>
        <w:jc w:val="left"/>
        <w:rPr>
          <w:rFonts w:ascii="仿宋" w:hAnsi="Arial Narrow" w:eastAsia="仿宋_GB2312" w:cs="宋体"/>
          <w:sz w:val="28"/>
          <w:szCs w:val="21"/>
        </w:rPr>
      </w:pPr>
      <w:r>
        <w:rPr>
          <w:rFonts w:hint="eastAsia" w:ascii="仿宋" w:hAnsi="仿宋" w:eastAsia="仿宋_GB2312" w:cs="宋体"/>
          <w:sz w:val="28"/>
          <w:szCs w:val="21"/>
        </w:rPr>
        <w:t>在竞赛过程中，从设备操作的规范性、装配耗材使用的合理性、专用工具的操作及安全生产的认识程度等方面对参赛选手进行综合评价。</w:t>
      </w:r>
    </w:p>
    <w:p>
      <w:pPr>
        <w:spacing w:line="560" w:lineRule="exact"/>
        <w:ind w:firstLine="560" w:firstLineChars="200"/>
        <w:jc w:val="left"/>
        <w:rPr>
          <w:rFonts w:ascii="仿宋" w:hAnsi="仿宋" w:eastAsia="仿宋_GB2312" w:cs="宋体"/>
          <w:sz w:val="28"/>
          <w:szCs w:val="21"/>
        </w:rPr>
      </w:pPr>
      <w:r>
        <w:rPr>
          <w:rFonts w:ascii="仿宋" w:hAnsi="仿宋" w:eastAsia="仿宋_GB2312" w:cs="宋体"/>
          <w:sz w:val="28"/>
          <w:szCs w:val="21"/>
        </w:rPr>
        <w:br w:type="page"/>
      </w:r>
    </w:p>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附一</w:t>
      </w:r>
      <w:r>
        <w:rPr>
          <w:rFonts w:ascii="仿宋" w:hAnsi="仿宋" w:eastAsia="仿宋"/>
          <w:b/>
          <w:kern w:val="44"/>
          <w:sz w:val="32"/>
          <w:szCs w:val="15"/>
        </w:rPr>
        <w:t xml:space="preserve"> </w:t>
      </w:r>
      <w:r>
        <w:rPr>
          <w:rFonts w:hint="eastAsia" w:ascii="仿宋" w:hAnsi="仿宋" w:eastAsia="仿宋"/>
          <w:b/>
          <w:kern w:val="44"/>
          <w:sz w:val="32"/>
          <w:szCs w:val="15"/>
        </w:rPr>
        <w:t>系统布局方案</w:t>
      </w:r>
    </w:p>
    <w:p>
      <w:pPr>
        <w:keepNext/>
        <w:jc w:val="center"/>
        <w:rPr>
          <w:rFonts w:ascii="仿宋" w:hAnsi="仿宋" w:eastAsia="仿宋_GB2312"/>
          <w:kern w:val="0"/>
          <w:sz w:val="28"/>
          <w:szCs w:val="20"/>
        </w:rPr>
      </w:pPr>
      <w:r>
        <w:rPr>
          <w:rFonts w:ascii="仿宋" w:hAnsi="仿宋" w:eastAsia="仿宋_GB2312"/>
          <w:kern w:val="0"/>
          <w:sz w:val="28"/>
          <w:szCs w:val="20"/>
        </w:rPr>
        <w:drawing>
          <wp:inline distT="0" distB="0" distL="0" distR="0">
            <wp:extent cx="5514975" cy="794766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rot="10800000">
                      <a:off x="0" y="0"/>
                      <a:ext cx="5533229" cy="7973842"/>
                    </a:xfrm>
                    <a:prstGeom prst="rect">
                      <a:avLst/>
                    </a:prstGeom>
                    <a:noFill/>
                    <a:ln>
                      <a:noFill/>
                    </a:ln>
                  </pic:spPr>
                </pic:pic>
              </a:graphicData>
            </a:graphic>
          </wp:inline>
        </w:drawing>
      </w:r>
    </w:p>
    <w:p>
      <w:pPr>
        <w:spacing w:line="560" w:lineRule="exact"/>
        <w:ind w:firstLine="560" w:firstLineChars="200"/>
        <w:jc w:val="left"/>
        <w:rPr>
          <w:rFonts w:ascii="仿宋" w:hAnsi="仿宋" w:eastAsia="仿宋_GB2312" w:cs="宋体"/>
          <w:sz w:val="28"/>
          <w:szCs w:val="21"/>
        </w:rPr>
      </w:pPr>
    </w:p>
    <w:p>
      <w:pPr>
        <w:keepLines/>
        <w:spacing w:line="560" w:lineRule="exact"/>
        <w:jc w:val="left"/>
        <w:outlineLvl w:val="0"/>
        <w:rPr>
          <w:rFonts w:ascii="仿宋" w:hAnsi="仿宋" w:eastAsia="仿宋"/>
          <w:b/>
          <w:kern w:val="44"/>
          <w:sz w:val="32"/>
          <w:szCs w:val="15"/>
        </w:rPr>
      </w:pPr>
      <w:r>
        <w:rPr>
          <w:rFonts w:hint="eastAsia" w:ascii="仿宋" w:hAnsi="仿宋" w:eastAsia="仿宋"/>
          <w:b/>
          <w:kern w:val="44"/>
          <w:sz w:val="32"/>
          <w:szCs w:val="15"/>
        </w:rPr>
        <w:t>附二</w:t>
      </w:r>
      <w:r>
        <w:rPr>
          <w:rFonts w:ascii="仿宋" w:hAnsi="仿宋" w:eastAsia="仿宋"/>
          <w:b/>
          <w:kern w:val="44"/>
          <w:sz w:val="32"/>
          <w:szCs w:val="15"/>
        </w:rPr>
        <w:t xml:space="preserve"> </w:t>
      </w:r>
      <w:r>
        <w:rPr>
          <w:rFonts w:hint="eastAsia" w:ascii="仿宋" w:hAnsi="仿宋" w:eastAsia="仿宋"/>
          <w:b/>
          <w:kern w:val="44"/>
          <w:sz w:val="32"/>
          <w:szCs w:val="15"/>
        </w:rPr>
        <w:t>控制系统方案</w:t>
      </w:r>
    </w:p>
    <w:p>
      <w:pPr>
        <w:keepNext/>
        <w:jc w:val="center"/>
        <w:rPr>
          <w:rFonts w:ascii="仿宋" w:hAnsi="仿宋" w:eastAsia="仿宋_GB2312"/>
          <w:kern w:val="0"/>
          <w:sz w:val="28"/>
          <w:szCs w:val="20"/>
        </w:rPr>
      </w:pPr>
      <w:bookmarkStart w:id="8" w:name="_GoBack"/>
      <w:r>
        <w:rPr>
          <w:rFonts w:ascii="仿宋" w:hAnsi="仿宋" w:eastAsia="仿宋_GB2312"/>
          <w:kern w:val="0"/>
          <w:sz w:val="28"/>
          <w:szCs w:val="20"/>
        </w:rPr>
        <w:drawing>
          <wp:inline distT="0" distB="0" distL="0" distR="0">
            <wp:extent cx="5654040" cy="8077200"/>
            <wp:effectExtent l="0" t="0" r="381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rot="10800000">
                      <a:off x="0" y="0"/>
                      <a:ext cx="5660853" cy="8086933"/>
                    </a:xfrm>
                    <a:prstGeom prst="rect">
                      <a:avLst/>
                    </a:prstGeom>
                    <a:noFill/>
                    <a:ln>
                      <a:noFill/>
                    </a:ln>
                  </pic:spPr>
                </pic:pic>
              </a:graphicData>
            </a:graphic>
          </wp:inline>
        </w:drawing>
      </w:r>
      <w:bookmarkEnd w:id="8"/>
    </w:p>
    <w:p>
      <w:pPr>
        <w:tabs>
          <w:tab w:val="left" w:pos="7310"/>
        </w:tabs>
        <w:spacing w:line="288" w:lineRule="auto"/>
        <w:ind w:firstLine="480" w:firstLineChars="200"/>
        <w:contextualSpacing/>
        <w:rPr>
          <w:rFonts w:ascii="宋体"/>
          <w:sz w:val="24"/>
          <w:szCs w:val="24"/>
        </w:rPr>
      </w:pPr>
    </w:p>
    <w:sectPr>
      <w:headerReference r:id="rId7" w:type="default"/>
      <w:pgSz w:w="11906" w:h="16838"/>
      <w:pgMar w:top="1440" w:right="1644" w:bottom="1440" w:left="1644" w:header="851" w:footer="992" w:gutter="0"/>
      <w:cols w:space="0" w:num="1"/>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Calibri Light">
    <w:altName w:val="Calibri"/>
    <w:panose1 w:val="020F0302020204030204"/>
    <w:charset w:val="00"/>
    <w:family w:val="swiss"/>
    <w:pitch w:val="default"/>
    <w:sig w:usb0="00000000" w:usb1="00000000" w:usb2="00000009" w:usb3="00000000" w:csb0="000001FF" w:csb1="00000000"/>
  </w:font>
  <w:font w:name="仿宋">
    <w:panose1 w:val="02010609060101010101"/>
    <w:charset w:val="86"/>
    <w:family w:val="modern"/>
    <w:pitch w:val="default"/>
    <w:sig w:usb0="800002BF" w:usb1="38CF7CFA" w:usb2="00000016" w:usb3="00000000" w:csb0="00040001" w:csb1="00000000"/>
  </w:font>
  <w:font w:name="Arial Narrow">
    <w:panose1 w:val="020B0606020202030204"/>
    <w:charset w:val="00"/>
    <w:family w:val="swiss"/>
    <w:pitch w:val="default"/>
    <w:sig w:usb0="00000287" w:usb1="00000800" w:usb2="00000000" w:usb3="00000000" w:csb0="2000009F" w:csb1="DFD7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rPr>
        <w:lang w:val="zh-CN"/>
      </w:rPr>
      <w:fldChar w:fldCharType="begin"/>
    </w:r>
    <w:r>
      <w:rPr>
        <w:lang w:val="zh-CN"/>
      </w:rPr>
      <w:instrText xml:space="preserve">PAGE   \* MERGEFORMAT</w:instrText>
    </w:r>
    <w:r>
      <w:rPr>
        <w:lang w:val="zh-CN"/>
      </w:rPr>
      <w:fldChar w:fldCharType="separate"/>
    </w:r>
    <w:r>
      <w:rPr>
        <w:lang w:val="zh-CN"/>
      </w:rPr>
      <w:t>1</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rPr>
        <w:rFonts w:hint="eastAsia"/>
      </w:rPr>
      <w:t>地址：北京市昌平区北七家镇宏福科技园创意空间一层</w:t>
    </w:r>
    <w:r>
      <w:t xml:space="preserve">  </w:t>
    </w:r>
    <w:r>
      <w:rPr>
        <w:rFonts w:hint="eastAsia"/>
      </w:rPr>
      <w:t>电话：</w:t>
    </w:r>
    <w:r>
      <w:t>010-89755166   www.CHLRob.com</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r>
      <w:pict>
        <v:shape id="PowerPlusWaterMarkObject286487126" o:spid="_x0000_s2054" o:spt="136" type="#_x0000_t136" style="position:absolute;left:0pt;height:219.8pt;width:439.6pt;mso-position-horizontal:center;mso-position-horizontal-relative:margin;mso-position-vertical:center;mso-position-vertical-relative:margin;rotation:20643840f;z-index:-251655168;mso-width-relative:page;mso-height-relative:page;" fillcolor="#C0C0C0" filled="t" stroked="f" coordsize="21600,21600" o:allowincell="f">
          <v:path/>
          <v:fill on="t" opacity="32768f" focussize="0,0"/>
          <v:stroke on="f"/>
          <v:imagedata o:title=""/>
          <o:lock v:ext="edit"/>
          <v:textpath on="t" fitpath="t" trim="t" xscale="f" string="保密" style="font-family:仿宋_GB2312;font-size:8pt;v-text-align:cent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r>
      <w:pict>
        <v:shape id="PowerPlusWaterMarkObject286487125" o:spid="_x0000_s2053" o:spt="136" type="#_x0000_t136" style="position:absolute;left:0pt;height:219.8pt;width:439.6pt;mso-position-horizontal:center;mso-position-horizontal-relative:margin;mso-position-vertical:center;mso-position-vertical-relative:margin;rotation:20643840f;z-index:-251656192;mso-width-relative:page;mso-height-relative:page;" fillcolor="#C0C0C0" filled="t" stroked="f" coordsize="21600,21600" o:allowincell="f">
          <v:path/>
          <v:fill on="t" opacity="32768f" focussize="0,0"/>
          <v:stroke on="f"/>
          <v:imagedata o:title=""/>
          <o:lock v:ext="edit"/>
          <v:textpath on="t" fitpath="t" trim="t" xscale="f" string="保密" style="font-family:仿宋_GB2312;font-size:8pt;v-text-align:center;"/>
        </v:shape>
      </w:pict>
    </w:r>
  </w:p>
  <w:p>
    <w:pPr>
      <w:pStyle w:val="12"/>
    </w:pPr>
    <w:r>
      <w:pict>
        <v:shape id="图片 25" o:spid="_x0000_s2052" o:spt="75" type="#_x0000_t75" style="position:absolute;left:0pt;margin-left:-24.75pt;margin-top:-17.25pt;height:35.6pt;width:395.3pt;z-index:-251657216;mso-width-relative:page;mso-height-relative:page;" filled="f" o:preferrelative="t" stroked="f" coordsize="21600,21600">
          <v:path/>
          <v:fill on="f" focussize="0,0"/>
          <v:stroke on="f" joinstyle="miter"/>
          <v:imagedata r:id="rId1" o:title=""/>
          <o:lock v:ext="edit" aspectratio="t"/>
        </v:shape>
      </w:pict>
    </w:r>
    <w:r>
      <w:rPr>
        <w:rFonts w:hint="eastAsia"/>
      </w:rPr>
      <w:t>第</w:t>
    </w:r>
    <w:r>
      <w:rPr>
        <w:lang w:val="zh-CN"/>
      </w:rPr>
      <w:fldChar w:fldCharType="begin"/>
    </w:r>
    <w:r>
      <w:rPr>
        <w:lang w:val="zh-CN"/>
      </w:rPr>
      <w:instrText xml:space="preserve">PAGE   \* MERGEFORMAT</w:instrText>
    </w:r>
    <w:r>
      <w:rPr>
        <w:lang w:val="zh-CN"/>
      </w:rPr>
      <w:fldChar w:fldCharType="separate"/>
    </w:r>
    <w:r>
      <w:rPr>
        <w:lang w:val="zh-CN"/>
      </w:rPr>
      <w:t>1</w:t>
    </w:r>
    <w:r>
      <w:rPr>
        <w:lang w:val="zh-CN"/>
      </w:rPr>
      <w:fldChar w:fldCharType="end"/>
    </w:r>
    <w:r>
      <w:rPr>
        <w:rFonts w:hint="eastAsia"/>
      </w:rPr>
      <w:t>页</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53A72"/>
    <w:multiLevelType w:val="multilevel"/>
    <w:tmpl w:val="03D53A72"/>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abstractNum w:abstractNumId="1">
    <w:nsid w:val="13C22AD9"/>
    <w:multiLevelType w:val="multilevel"/>
    <w:tmpl w:val="13C22AD9"/>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abstractNum w:abstractNumId="2">
    <w:nsid w:val="5EE847A3"/>
    <w:multiLevelType w:val="multilevel"/>
    <w:tmpl w:val="5EE847A3"/>
    <w:lvl w:ilvl="0" w:tentative="0">
      <w:start w:val="1"/>
      <w:numFmt w:val="japaneseCounting"/>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68595C42"/>
    <w:multiLevelType w:val="multilevel"/>
    <w:tmpl w:val="68595C42"/>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abstractNum w:abstractNumId="4">
    <w:nsid w:val="76AD103E"/>
    <w:multiLevelType w:val="multilevel"/>
    <w:tmpl w:val="76AD103E"/>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num w:numId="1">
    <w:abstractNumId w:val="2"/>
  </w:num>
  <w:num w:numId="2">
    <w:abstractNumId w:val="0"/>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3E63"/>
    <w:rsid w:val="00001776"/>
    <w:rsid w:val="0000687E"/>
    <w:rsid w:val="00011BB0"/>
    <w:rsid w:val="00016982"/>
    <w:rsid w:val="00032414"/>
    <w:rsid w:val="000336F6"/>
    <w:rsid w:val="000412A0"/>
    <w:rsid w:val="00047E3E"/>
    <w:rsid w:val="00080AAD"/>
    <w:rsid w:val="000B35DF"/>
    <w:rsid w:val="000C0138"/>
    <w:rsid w:val="000C768F"/>
    <w:rsid w:val="000D0B2D"/>
    <w:rsid w:val="000D7113"/>
    <w:rsid w:val="000E439C"/>
    <w:rsid w:val="000F20A3"/>
    <w:rsid w:val="000F49EE"/>
    <w:rsid w:val="000F7452"/>
    <w:rsid w:val="00106D3D"/>
    <w:rsid w:val="00152CCB"/>
    <w:rsid w:val="00167526"/>
    <w:rsid w:val="00174DD3"/>
    <w:rsid w:val="00181181"/>
    <w:rsid w:val="001A10DB"/>
    <w:rsid w:val="001A58ED"/>
    <w:rsid w:val="001B10B6"/>
    <w:rsid w:val="001C6476"/>
    <w:rsid w:val="001E3987"/>
    <w:rsid w:val="00237063"/>
    <w:rsid w:val="002558BB"/>
    <w:rsid w:val="00267381"/>
    <w:rsid w:val="002732D1"/>
    <w:rsid w:val="002A0572"/>
    <w:rsid w:val="002A1780"/>
    <w:rsid w:val="002B3C21"/>
    <w:rsid w:val="002B680C"/>
    <w:rsid w:val="002F57E3"/>
    <w:rsid w:val="002F5FAE"/>
    <w:rsid w:val="00301E4D"/>
    <w:rsid w:val="003050AD"/>
    <w:rsid w:val="003065E9"/>
    <w:rsid w:val="0031087C"/>
    <w:rsid w:val="00311332"/>
    <w:rsid w:val="00333DE5"/>
    <w:rsid w:val="00337C41"/>
    <w:rsid w:val="00343D8A"/>
    <w:rsid w:val="00354439"/>
    <w:rsid w:val="00362853"/>
    <w:rsid w:val="00373823"/>
    <w:rsid w:val="003763A7"/>
    <w:rsid w:val="00381A53"/>
    <w:rsid w:val="003835C2"/>
    <w:rsid w:val="00386117"/>
    <w:rsid w:val="003B24D0"/>
    <w:rsid w:val="003B5B1B"/>
    <w:rsid w:val="003D47FF"/>
    <w:rsid w:val="003D5B7A"/>
    <w:rsid w:val="003E1285"/>
    <w:rsid w:val="003E2AB7"/>
    <w:rsid w:val="003E48F6"/>
    <w:rsid w:val="003E6DDC"/>
    <w:rsid w:val="003E765C"/>
    <w:rsid w:val="00402B81"/>
    <w:rsid w:val="00402D63"/>
    <w:rsid w:val="0041767B"/>
    <w:rsid w:val="00431A29"/>
    <w:rsid w:val="00443800"/>
    <w:rsid w:val="00470F2E"/>
    <w:rsid w:val="00477587"/>
    <w:rsid w:val="00481FEC"/>
    <w:rsid w:val="0048284E"/>
    <w:rsid w:val="004B75F8"/>
    <w:rsid w:val="004C0750"/>
    <w:rsid w:val="004C2A12"/>
    <w:rsid w:val="004D0F67"/>
    <w:rsid w:val="004D1A6D"/>
    <w:rsid w:val="004D6C68"/>
    <w:rsid w:val="004E560B"/>
    <w:rsid w:val="00512527"/>
    <w:rsid w:val="005157A5"/>
    <w:rsid w:val="005367B3"/>
    <w:rsid w:val="00546E49"/>
    <w:rsid w:val="00572B68"/>
    <w:rsid w:val="00576109"/>
    <w:rsid w:val="00576488"/>
    <w:rsid w:val="00597443"/>
    <w:rsid w:val="005A2396"/>
    <w:rsid w:val="005C56E2"/>
    <w:rsid w:val="005C6C69"/>
    <w:rsid w:val="005D2A3A"/>
    <w:rsid w:val="005D37D3"/>
    <w:rsid w:val="005E2A36"/>
    <w:rsid w:val="005F0D82"/>
    <w:rsid w:val="005F2AA1"/>
    <w:rsid w:val="00600875"/>
    <w:rsid w:val="00601498"/>
    <w:rsid w:val="006043AD"/>
    <w:rsid w:val="00620D89"/>
    <w:rsid w:val="00641DCC"/>
    <w:rsid w:val="00642FC0"/>
    <w:rsid w:val="0066316A"/>
    <w:rsid w:val="00672BB0"/>
    <w:rsid w:val="00674965"/>
    <w:rsid w:val="00693428"/>
    <w:rsid w:val="00695751"/>
    <w:rsid w:val="006A23C3"/>
    <w:rsid w:val="006B19AA"/>
    <w:rsid w:val="006B373E"/>
    <w:rsid w:val="006B4A1E"/>
    <w:rsid w:val="006B5D2D"/>
    <w:rsid w:val="006D6D7A"/>
    <w:rsid w:val="006E2799"/>
    <w:rsid w:val="006E43DF"/>
    <w:rsid w:val="007039B8"/>
    <w:rsid w:val="00703F60"/>
    <w:rsid w:val="00710A8D"/>
    <w:rsid w:val="00711BDB"/>
    <w:rsid w:val="00714B76"/>
    <w:rsid w:val="00737F7A"/>
    <w:rsid w:val="00741BC9"/>
    <w:rsid w:val="0076218D"/>
    <w:rsid w:val="00784724"/>
    <w:rsid w:val="0079410F"/>
    <w:rsid w:val="007C7838"/>
    <w:rsid w:val="007D082B"/>
    <w:rsid w:val="007D2A64"/>
    <w:rsid w:val="007D7B9A"/>
    <w:rsid w:val="007E0ED0"/>
    <w:rsid w:val="007E1300"/>
    <w:rsid w:val="007E364E"/>
    <w:rsid w:val="007F4739"/>
    <w:rsid w:val="0081431E"/>
    <w:rsid w:val="00836321"/>
    <w:rsid w:val="00846DA8"/>
    <w:rsid w:val="00851677"/>
    <w:rsid w:val="0085358B"/>
    <w:rsid w:val="00860864"/>
    <w:rsid w:val="00862A0C"/>
    <w:rsid w:val="00863C5D"/>
    <w:rsid w:val="00864466"/>
    <w:rsid w:val="008714B2"/>
    <w:rsid w:val="008768BC"/>
    <w:rsid w:val="0089604F"/>
    <w:rsid w:val="008B02BD"/>
    <w:rsid w:val="008B3732"/>
    <w:rsid w:val="008C702B"/>
    <w:rsid w:val="008D7BBC"/>
    <w:rsid w:val="008E0C56"/>
    <w:rsid w:val="008E794E"/>
    <w:rsid w:val="008F4D49"/>
    <w:rsid w:val="00911C34"/>
    <w:rsid w:val="0092360E"/>
    <w:rsid w:val="0092401A"/>
    <w:rsid w:val="0093298F"/>
    <w:rsid w:val="009334A9"/>
    <w:rsid w:val="00974DE5"/>
    <w:rsid w:val="009763E1"/>
    <w:rsid w:val="009A1E9B"/>
    <w:rsid w:val="009C0C83"/>
    <w:rsid w:val="009C4AAA"/>
    <w:rsid w:val="009D07C4"/>
    <w:rsid w:val="009D7447"/>
    <w:rsid w:val="009E2232"/>
    <w:rsid w:val="009E4806"/>
    <w:rsid w:val="009E4D3B"/>
    <w:rsid w:val="009F3B15"/>
    <w:rsid w:val="009F3F15"/>
    <w:rsid w:val="00A005E9"/>
    <w:rsid w:val="00A04380"/>
    <w:rsid w:val="00A10F6A"/>
    <w:rsid w:val="00A15D3C"/>
    <w:rsid w:val="00A17AAA"/>
    <w:rsid w:val="00A258D1"/>
    <w:rsid w:val="00A2762B"/>
    <w:rsid w:val="00A32F66"/>
    <w:rsid w:val="00A47A39"/>
    <w:rsid w:val="00A47B29"/>
    <w:rsid w:val="00A610DE"/>
    <w:rsid w:val="00A62A7D"/>
    <w:rsid w:val="00A76130"/>
    <w:rsid w:val="00A80012"/>
    <w:rsid w:val="00A911A4"/>
    <w:rsid w:val="00A92B9D"/>
    <w:rsid w:val="00AC7CF0"/>
    <w:rsid w:val="00AD14F9"/>
    <w:rsid w:val="00AD6305"/>
    <w:rsid w:val="00AF6679"/>
    <w:rsid w:val="00B0669B"/>
    <w:rsid w:val="00B07E67"/>
    <w:rsid w:val="00B316F4"/>
    <w:rsid w:val="00B3412D"/>
    <w:rsid w:val="00B34BB0"/>
    <w:rsid w:val="00B553F7"/>
    <w:rsid w:val="00B613C2"/>
    <w:rsid w:val="00B729B3"/>
    <w:rsid w:val="00B85E48"/>
    <w:rsid w:val="00BA0532"/>
    <w:rsid w:val="00BA22CC"/>
    <w:rsid w:val="00BB6052"/>
    <w:rsid w:val="00BC0172"/>
    <w:rsid w:val="00BE3CCB"/>
    <w:rsid w:val="00BE6782"/>
    <w:rsid w:val="00BF6EA6"/>
    <w:rsid w:val="00C03E63"/>
    <w:rsid w:val="00C0459D"/>
    <w:rsid w:val="00C122D0"/>
    <w:rsid w:val="00C129AB"/>
    <w:rsid w:val="00C14882"/>
    <w:rsid w:val="00C14D8F"/>
    <w:rsid w:val="00C26413"/>
    <w:rsid w:val="00C33B98"/>
    <w:rsid w:val="00C363A1"/>
    <w:rsid w:val="00C41C6B"/>
    <w:rsid w:val="00C41EE1"/>
    <w:rsid w:val="00C45915"/>
    <w:rsid w:val="00C54BC0"/>
    <w:rsid w:val="00C61076"/>
    <w:rsid w:val="00C73F19"/>
    <w:rsid w:val="00C74DB5"/>
    <w:rsid w:val="00C76C25"/>
    <w:rsid w:val="00C76F12"/>
    <w:rsid w:val="00C82F64"/>
    <w:rsid w:val="00CA7552"/>
    <w:rsid w:val="00CB26F0"/>
    <w:rsid w:val="00CB3E53"/>
    <w:rsid w:val="00CE450C"/>
    <w:rsid w:val="00D03346"/>
    <w:rsid w:val="00D31728"/>
    <w:rsid w:val="00D31DE3"/>
    <w:rsid w:val="00D47872"/>
    <w:rsid w:val="00D701DE"/>
    <w:rsid w:val="00D83B4B"/>
    <w:rsid w:val="00D85EED"/>
    <w:rsid w:val="00D877EB"/>
    <w:rsid w:val="00DC5F79"/>
    <w:rsid w:val="00DC5FF0"/>
    <w:rsid w:val="00DC6C66"/>
    <w:rsid w:val="00DD43F6"/>
    <w:rsid w:val="00DF2FCA"/>
    <w:rsid w:val="00E007A3"/>
    <w:rsid w:val="00E048DA"/>
    <w:rsid w:val="00E24325"/>
    <w:rsid w:val="00E31469"/>
    <w:rsid w:val="00E372E6"/>
    <w:rsid w:val="00E51ABA"/>
    <w:rsid w:val="00E63FAA"/>
    <w:rsid w:val="00E80E9C"/>
    <w:rsid w:val="00E91557"/>
    <w:rsid w:val="00E9549E"/>
    <w:rsid w:val="00EB1EC1"/>
    <w:rsid w:val="00EB6F8A"/>
    <w:rsid w:val="00EB734D"/>
    <w:rsid w:val="00EC6D72"/>
    <w:rsid w:val="00ED30E6"/>
    <w:rsid w:val="00F062EE"/>
    <w:rsid w:val="00F12324"/>
    <w:rsid w:val="00F12B39"/>
    <w:rsid w:val="00F12CD0"/>
    <w:rsid w:val="00F16414"/>
    <w:rsid w:val="00F3184A"/>
    <w:rsid w:val="00F35A91"/>
    <w:rsid w:val="00F40EE0"/>
    <w:rsid w:val="00F55866"/>
    <w:rsid w:val="00F636CC"/>
    <w:rsid w:val="00F679B2"/>
    <w:rsid w:val="00F81DAD"/>
    <w:rsid w:val="00F90E57"/>
    <w:rsid w:val="00F92279"/>
    <w:rsid w:val="00FA35AC"/>
    <w:rsid w:val="00FC29CF"/>
    <w:rsid w:val="00FD20CE"/>
    <w:rsid w:val="00FE1888"/>
    <w:rsid w:val="62E278DC"/>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ocked="1"/>
    <w:lsdException w:qFormat="1" w:unhideWhenUsed="0" w:uiPriority="99" w:semiHidden="0" w:name="heading 2"/>
    <w:lsdException w:qFormat="1" w:unhideWhenUsed="0" w:uiPriority="99" w:semiHidden="0" w:name="heading 3" w:locked="1"/>
    <w:lsdException w:qFormat="1" w:unhideWhenUsed="0" w:uiPriority="99" w:semiHidden="0" w:name="heading 4" w:locked="1"/>
    <w:lsdException w:qFormat="1" w:unhideWhenUsed="0" w:uiPriority="99" w:semiHidden="0" w:name="heading 5"/>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99" w:semiHidden="0" w:name="toc 1" w:locked="1"/>
    <w:lsdException w:unhideWhenUsed="0" w:uiPriority="99" w:semiHidden="0" w:name="toc 2" w:locked="1"/>
    <w:lsdException w:unhideWhenUsed="0" w:uiPriority="99" w:semiHidden="0" w:name="toc 3" w:locked="1"/>
    <w:lsdException w:unhideWhenUsed="0" w:uiPriority="99" w:semiHidden="0" w:name="toc 4" w:locked="1"/>
    <w:lsdException w:unhideWhenUsed="0" w:uiPriority="99"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unhideWhenUsed="0" w:uiPriority="99" w:semiHidden="0" w:name="header"/>
    <w:lsdException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qFormat="1" w:unhideWhenUsed="0"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ocked="1"/>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99" w:semiHidden="0" w:name="Strong"/>
    <w:lsdException w:qFormat="1" w:unhideWhenUsed="0" w:uiPriority="99"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name="Balloon Text"/>
    <w:lsdException w:unhideWhenUsed="0" w:uiPriority="99" w:semiHidden="0" w:name="Table Grid" w:locked="1"/>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42"/>
    <w:qFormat/>
    <w:locked/>
    <w:uiPriority w:val="99"/>
    <w:pPr>
      <w:keepNext/>
      <w:keepLines/>
      <w:spacing w:before="340" w:after="330" w:line="578" w:lineRule="auto"/>
      <w:outlineLvl w:val="0"/>
    </w:pPr>
    <w:rPr>
      <w:b/>
      <w:bCs/>
      <w:kern w:val="44"/>
      <w:sz w:val="44"/>
      <w:szCs w:val="44"/>
    </w:rPr>
  </w:style>
  <w:style w:type="paragraph" w:styleId="3">
    <w:name w:val="heading 2"/>
    <w:basedOn w:val="1"/>
    <w:next w:val="1"/>
    <w:link w:val="24"/>
    <w:qFormat/>
    <w:uiPriority w:val="99"/>
    <w:pPr>
      <w:keepNext/>
      <w:keepLines/>
      <w:spacing w:before="260" w:after="260" w:line="416" w:lineRule="auto"/>
      <w:outlineLvl w:val="1"/>
    </w:pPr>
    <w:rPr>
      <w:rFonts w:ascii="Cambria" w:hAnsi="Cambria"/>
      <w:b/>
      <w:bCs/>
      <w:sz w:val="32"/>
      <w:szCs w:val="32"/>
    </w:rPr>
  </w:style>
  <w:style w:type="paragraph" w:styleId="4">
    <w:name w:val="heading 3"/>
    <w:basedOn w:val="1"/>
    <w:next w:val="1"/>
    <w:link w:val="43"/>
    <w:qFormat/>
    <w:locked/>
    <w:uiPriority w:val="99"/>
    <w:pPr>
      <w:keepNext/>
      <w:keepLines/>
      <w:spacing w:line="560" w:lineRule="exact"/>
      <w:ind w:firstLine="560" w:firstLineChars="200"/>
      <w:jc w:val="left"/>
      <w:outlineLvl w:val="2"/>
    </w:pPr>
    <w:rPr>
      <w:rFonts w:eastAsia="仿宋_GB2312"/>
      <w:kern w:val="0"/>
      <w:sz w:val="32"/>
      <w:szCs w:val="20"/>
    </w:rPr>
  </w:style>
  <w:style w:type="paragraph" w:styleId="5">
    <w:name w:val="heading 4"/>
    <w:basedOn w:val="1"/>
    <w:next w:val="1"/>
    <w:link w:val="44"/>
    <w:qFormat/>
    <w:locked/>
    <w:uiPriority w:val="99"/>
    <w:pPr>
      <w:keepNext/>
      <w:keepLines/>
      <w:spacing w:line="560" w:lineRule="exact"/>
      <w:jc w:val="left"/>
      <w:outlineLvl w:val="3"/>
    </w:pPr>
    <w:rPr>
      <w:rFonts w:ascii="Calibri Light" w:hAnsi="Calibri Light" w:eastAsia="仿宋_GB2312"/>
      <w:kern w:val="0"/>
      <w:sz w:val="28"/>
      <w:szCs w:val="20"/>
    </w:rPr>
  </w:style>
  <w:style w:type="paragraph" w:styleId="6">
    <w:name w:val="heading 5"/>
    <w:basedOn w:val="1"/>
    <w:next w:val="1"/>
    <w:link w:val="25"/>
    <w:qFormat/>
    <w:uiPriority w:val="99"/>
    <w:pPr>
      <w:keepNext/>
      <w:keepLines/>
      <w:spacing w:before="280" w:after="290" w:line="376" w:lineRule="auto"/>
      <w:outlineLvl w:val="4"/>
    </w:pPr>
    <w:rPr>
      <w:b/>
      <w:bCs/>
      <w:sz w:val="28"/>
      <w:szCs w:val="28"/>
    </w:rPr>
  </w:style>
  <w:style w:type="character" w:default="1" w:styleId="20">
    <w:name w:val="Default Paragraph Font"/>
    <w:semiHidden/>
    <w:unhideWhenUsed/>
    <w:uiPriority w:val="1"/>
  </w:style>
  <w:style w:type="table" w:default="1" w:styleId="18">
    <w:name w:val="Normal Table"/>
    <w:semiHidden/>
    <w:unhideWhenUsed/>
    <w:uiPriority w:val="99"/>
    <w:tblPr>
      <w:tblCellMar>
        <w:top w:w="0" w:type="dxa"/>
        <w:left w:w="108" w:type="dxa"/>
        <w:bottom w:w="0" w:type="dxa"/>
        <w:right w:w="108" w:type="dxa"/>
      </w:tblCellMar>
    </w:tblPr>
  </w:style>
  <w:style w:type="paragraph" w:styleId="7">
    <w:name w:val="annotation text"/>
    <w:basedOn w:val="1"/>
    <w:link w:val="50"/>
    <w:semiHidden/>
    <w:unhideWhenUsed/>
    <w:uiPriority w:val="99"/>
    <w:pPr>
      <w:jc w:val="left"/>
    </w:pPr>
  </w:style>
  <w:style w:type="paragraph" w:styleId="8">
    <w:name w:val="toc 5"/>
    <w:basedOn w:val="1"/>
    <w:next w:val="1"/>
    <w:locked/>
    <w:uiPriority w:val="99"/>
    <w:pPr>
      <w:spacing w:line="560" w:lineRule="exact"/>
      <w:ind w:left="800" w:leftChars="800"/>
      <w:jc w:val="left"/>
    </w:pPr>
    <w:rPr>
      <w:rFonts w:ascii="仿宋" w:hAnsi="仿宋" w:eastAsia="仿宋_GB2312" w:cs="宋体"/>
      <w:sz w:val="28"/>
      <w:szCs w:val="21"/>
    </w:rPr>
  </w:style>
  <w:style w:type="paragraph" w:styleId="9">
    <w:name w:val="toc 3"/>
    <w:basedOn w:val="1"/>
    <w:next w:val="1"/>
    <w:locked/>
    <w:uiPriority w:val="99"/>
    <w:pPr>
      <w:spacing w:line="560" w:lineRule="exact"/>
      <w:ind w:left="400" w:leftChars="400"/>
      <w:jc w:val="left"/>
    </w:pPr>
    <w:rPr>
      <w:rFonts w:ascii="仿宋" w:hAnsi="仿宋" w:eastAsia="仿宋_GB2312" w:cs="宋体"/>
      <w:sz w:val="28"/>
      <w:szCs w:val="21"/>
    </w:rPr>
  </w:style>
  <w:style w:type="paragraph" w:styleId="10">
    <w:name w:val="Balloon Text"/>
    <w:basedOn w:val="1"/>
    <w:link w:val="48"/>
    <w:semiHidden/>
    <w:uiPriority w:val="0"/>
    <w:pPr>
      <w:spacing w:line="560" w:lineRule="exact"/>
      <w:ind w:firstLine="560" w:firstLineChars="200"/>
      <w:jc w:val="left"/>
    </w:pPr>
    <w:rPr>
      <w:rFonts w:ascii="仿宋" w:hAnsi="仿宋" w:eastAsia="仿宋_GB2312" w:cs="宋体"/>
      <w:sz w:val="18"/>
      <w:szCs w:val="18"/>
    </w:rPr>
  </w:style>
  <w:style w:type="paragraph" w:styleId="11">
    <w:name w:val="footer"/>
    <w:basedOn w:val="1"/>
    <w:link w:val="27"/>
    <w:uiPriority w:val="99"/>
    <w:pPr>
      <w:tabs>
        <w:tab w:val="center" w:pos="4153"/>
        <w:tab w:val="right" w:pos="8306"/>
      </w:tabs>
      <w:snapToGrid w:val="0"/>
      <w:jc w:val="left"/>
    </w:pPr>
    <w:rPr>
      <w:sz w:val="18"/>
      <w:szCs w:val="18"/>
    </w:rPr>
  </w:style>
  <w:style w:type="paragraph" w:styleId="12">
    <w:name w:val="header"/>
    <w:basedOn w:val="1"/>
    <w:link w:val="26"/>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locked/>
    <w:uiPriority w:val="99"/>
    <w:pPr>
      <w:spacing w:line="560" w:lineRule="exact"/>
      <w:jc w:val="left"/>
    </w:pPr>
    <w:rPr>
      <w:rFonts w:ascii="仿宋" w:hAnsi="仿宋" w:eastAsia="仿宋_GB2312" w:cs="宋体"/>
      <w:sz w:val="28"/>
      <w:szCs w:val="21"/>
    </w:rPr>
  </w:style>
  <w:style w:type="paragraph" w:styleId="14">
    <w:name w:val="toc 4"/>
    <w:basedOn w:val="1"/>
    <w:next w:val="1"/>
    <w:locked/>
    <w:uiPriority w:val="99"/>
    <w:pPr>
      <w:spacing w:line="560" w:lineRule="exact"/>
      <w:ind w:left="600" w:leftChars="600"/>
      <w:jc w:val="left"/>
    </w:pPr>
    <w:rPr>
      <w:rFonts w:ascii="仿宋" w:hAnsi="仿宋" w:eastAsia="仿宋_GB2312" w:cs="宋体"/>
      <w:sz w:val="28"/>
      <w:szCs w:val="21"/>
    </w:rPr>
  </w:style>
  <w:style w:type="paragraph" w:styleId="15">
    <w:name w:val="toc 2"/>
    <w:basedOn w:val="1"/>
    <w:next w:val="1"/>
    <w:locked/>
    <w:uiPriority w:val="99"/>
    <w:pPr>
      <w:spacing w:line="560" w:lineRule="exact"/>
      <w:ind w:left="200" w:leftChars="200"/>
      <w:jc w:val="left"/>
    </w:pPr>
    <w:rPr>
      <w:rFonts w:ascii="仿宋" w:hAnsi="仿宋" w:eastAsia="仿宋_GB2312" w:cs="宋体"/>
      <w:sz w:val="28"/>
      <w:szCs w:val="21"/>
    </w:rPr>
  </w:style>
  <w:style w:type="paragraph" w:styleId="16">
    <w:name w:val="Title"/>
    <w:basedOn w:val="1"/>
    <w:next w:val="1"/>
    <w:link w:val="47"/>
    <w:qFormat/>
    <w:locked/>
    <w:uiPriority w:val="99"/>
    <w:pPr>
      <w:spacing w:line="560" w:lineRule="exact"/>
      <w:jc w:val="center"/>
    </w:pPr>
    <w:rPr>
      <w:rFonts w:ascii="仿宋" w:hAnsi="仿宋" w:eastAsia="黑体"/>
      <w:b/>
      <w:sz w:val="32"/>
    </w:rPr>
  </w:style>
  <w:style w:type="paragraph" w:styleId="17">
    <w:name w:val="annotation subject"/>
    <w:basedOn w:val="7"/>
    <w:next w:val="7"/>
    <w:link w:val="46"/>
    <w:semiHidden/>
    <w:uiPriority w:val="99"/>
    <w:pPr>
      <w:spacing w:line="560" w:lineRule="exact"/>
      <w:ind w:firstLine="560" w:firstLineChars="200"/>
    </w:pPr>
    <w:rPr>
      <w:rFonts w:ascii="仿宋" w:hAnsi="仿宋" w:eastAsia="仿宋_GB2312" w:cs="宋体"/>
      <w:b/>
      <w:bCs/>
      <w:szCs w:val="21"/>
    </w:rPr>
  </w:style>
  <w:style w:type="table" w:styleId="19">
    <w:name w:val="Table Grid"/>
    <w:basedOn w:val="18"/>
    <w:locked/>
    <w:uiPriority w:val="9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Strong"/>
    <w:basedOn w:val="20"/>
    <w:qFormat/>
    <w:uiPriority w:val="99"/>
    <w:rPr>
      <w:rFonts w:cs="Times New Roman"/>
      <w:b/>
    </w:rPr>
  </w:style>
  <w:style w:type="character" w:styleId="22">
    <w:name w:val="Emphasis"/>
    <w:qFormat/>
    <w:locked/>
    <w:uiPriority w:val="99"/>
    <w:rPr>
      <w:rFonts w:cs="Times New Roman"/>
      <w:b/>
    </w:rPr>
  </w:style>
  <w:style w:type="character" w:styleId="23">
    <w:name w:val="annotation reference"/>
    <w:semiHidden/>
    <w:qFormat/>
    <w:uiPriority w:val="99"/>
    <w:rPr>
      <w:rFonts w:cs="Times New Roman"/>
      <w:sz w:val="21"/>
      <w:szCs w:val="21"/>
    </w:rPr>
  </w:style>
  <w:style w:type="character" w:customStyle="1" w:styleId="24">
    <w:name w:val="标题 2 字符"/>
    <w:basedOn w:val="20"/>
    <w:link w:val="3"/>
    <w:locked/>
    <w:uiPriority w:val="99"/>
    <w:rPr>
      <w:rFonts w:ascii="Cambria" w:hAnsi="Cambria" w:eastAsia="宋体" w:cs="Times New Roman"/>
      <w:b/>
      <w:bCs/>
      <w:sz w:val="32"/>
      <w:szCs w:val="32"/>
    </w:rPr>
  </w:style>
  <w:style w:type="character" w:customStyle="1" w:styleId="25">
    <w:name w:val="标题 5 字符1"/>
    <w:basedOn w:val="20"/>
    <w:link w:val="6"/>
    <w:semiHidden/>
    <w:locked/>
    <w:uiPriority w:val="99"/>
    <w:rPr>
      <w:rFonts w:ascii="Calibri" w:hAnsi="Calibri" w:eastAsia="宋体" w:cs="Times New Roman"/>
      <w:b/>
      <w:bCs/>
      <w:sz w:val="28"/>
      <w:szCs w:val="28"/>
    </w:rPr>
  </w:style>
  <w:style w:type="character" w:customStyle="1" w:styleId="26">
    <w:name w:val="页眉 字符"/>
    <w:basedOn w:val="20"/>
    <w:link w:val="12"/>
    <w:locked/>
    <w:uiPriority w:val="99"/>
    <w:rPr>
      <w:rFonts w:cs="Times New Roman"/>
      <w:sz w:val="18"/>
      <w:szCs w:val="18"/>
    </w:rPr>
  </w:style>
  <w:style w:type="character" w:customStyle="1" w:styleId="27">
    <w:name w:val="页脚 字符"/>
    <w:basedOn w:val="20"/>
    <w:link w:val="11"/>
    <w:locked/>
    <w:uiPriority w:val="99"/>
    <w:rPr>
      <w:rFonts w:cs="Times New Roman"/>
      <w:sz w:val="18"/>
      <w:szCs w:val="18"/>
    </w:rPr>
  </w:style>
  <w:style w:type="character" w:customStyle="1" w:styleId="28">
    <w:name w:val="3zw1"/>
    <w:uiPriority w:val="99"/>
    <w:rPr>
      <w:color w:val="000000"/>
      <w:sz w:val="21"/>
    </w:rPr>
  </w:style>
  <w:style w:type="paragraph" w:styleId="29">
    <w:name w:val="No Spacing"/>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0">
    <w:name w:val="List Paragraph1"/>
    <w:basedOn w:val="1"/>
    <w:qFormat/>
    <w:uiPriority w:val="99"/>
    <w:pPr>
      <w:topLinePunct/>
      <w:ind w:firstLine="420" w:firstLineChars="200"/>
    </w:pPr>
    <w:rPr>
      <w:rFonts w:ascii="宋体" w:hAnsi="宋体"/>
      <w:szCs w:val="20"/>
    </w:rPr>
  </w:style>
  <w:style w:type="paragraph" w:customStyle="1" w:styleId="31">
    <w:name w:val="彩色列表 - 着色 11"/>
    <w:basedOn w:val="1"/>
    <w:qFormat/>
    <w:uiPriority w:val="99"/>
    <w:pPr>
      <w:ind w:firstLine="420" w:firstLineChars="200"/>
    </w:pPr>
    <w:rPr>
      <w:rFonts w:ascii="Times New Roman" w:hAnsi="Times New Roman"/>
      <w:szCs w:val="24"/>
    </w:rPr>
  </w:style>
  <w:style w:type="character" w:customStyle="1" w:styleId="32">
    <w:name w:val="标题 5 字符"/>
    <w:qFormat/>
    <w:uiPriority w:val="99"/>
    <w:rPr>
      <w:rFonts w:ascii="Times New Roman" w:hAnsi="Times New Roman"/>
      <w:b/>
      <w:kern w:val="2"/>
      <w:sz w:val="28"/>
    </w:rPr>
  </w:style>
  <w:style w:type="paragraph" w:customStyle="1" w:styleId="33">
    <w:name w:val="列出段落1"/>
    <w:basedOn w:val="1"/>
    <w:uiPriority w:val="99"/>
    <w:pPr>
      <w:ind w:firstLine="420" w:firstLineChars="200"/>
    </w:pPr>
    <w:rPr>
      <w:rFonts w:ascii="Times New Roman" w:hAnsi="Times New Roman"/>
      <w:szCs w:val="20"/>
    </w:rPr>
  </w:style>
  <w:style w:type="paragraph" w:styleId="34">
    <w:name w:val="List Paragraph"/>
    <w:basedOn w:val="1"/>
    <w:qFormat/>
    <w:uiPriority w:val="99"/>
    <w:pPr>
      <w:ind w:firstLine="420" w:firstLineChars="200"/>
    </w:pPr>
  </w:style>
  <w:style w:type="character" w:customStyle="1" w:styleId="35">
    <w:name w:val="表 Char"/>
    <w:link w:val="36"/>
    <w:locked/>
    <w:uiPriority w:val="99"/>
    <w:rPr>
      <w:rFonts w:ascii="仿宋" w:hAnsi="仿宋" w:eastAsia="仿宋_GB2312"/>
      <w:sz w:val="24"/>
    </w:rPr>
  </w:style>
  <w:style w:type="paragraph" w:customStyle="1" w:styleId="36">
    <w:name w:val="表"/>
    <w:basedOn w:val="1"/>
    <w:next w:val="1"/>
    <w:link w:val="35"/>
    <w:uiPriority w:val="99"/>
    <w:pPr>
      <w:jc w:val="center"/>
    </w:pPr>
    <w:rPr>
      <w:rFonts w:ascii="仿宋" w:hAnsi="仿宋" w:eastAsia="仿宋_GB2312"/>
      <w:sz w:val="24"/>
    </w:rPr>
  </w:style>
  <w:style w:type="paragraph" w:customStyle="1" w:styleId="37">
    <w:name w:val="表 靠左"/>
    <w:basedOn w:val="36"/>
    <w:uiPriority w:val="99"/>
    <w:pPr>
      <w:jc w:val="left"/>
    </w:pPr>
    <w:rPr>
      <w:kern w:val="0"/>
      <w:szCs w:val="20"/>
    </w:rPr>
  </w:style>
  <w:style w:type="paragraph" w:customStyle="1" w:styleId="38">
    <w:name w:val="表题注"/>
    <w:basedOn w:val="1"/>
    <w:next w:val="1"/>
    <w:uiPriority w:val="99"/>
    <w:pPr>
      <w:keepNext/>
      <w:widowControl/>
      <w:spacing w:before="120"/>
      <w:jc w:val="center"/>
    </w:pPr>
    <w:rPr>
      <w:rFonts w:ascii="Arial Narrow" w:hAnsi="仿宋" w:eastAsia="仿宋_GB2312" w:cs="宋体"/>
      <w:sz w:val="24"/>
      <w:szCs w:val="21"/>
    </w:rPr>
  </w:style>
  <w:style w:type="character" w:customStyle="1" w:styleId="39">
    <w:name w:val="图 Char"/>
    <w:link w:val="40"/>
    <w:locked/>
    <w:uiPriority w:val="99"/>
    <w:rPr>
      <w:rFonts w:ascii="仿宋" w:hAnsi="仿宋" w:eastAsia="仿宋_GB2312"/>
      <w:sz w:val="28"/>
    </w:rPr>
  </w:style>
  <w:style w:type="paragraph" w:customStyle="1" w:styleId="40">
    <w:name w:val="图"/>
    <w:basedOn w:val="1"/>
    <w:next w:val="1"/>
    <w:link w:val="39"/>
    <w:uiPriority w:val="99"/>
    <w:pPr>
      <w:keepNext/>
      <w:jc w:val="center"/>
    </w:pPr>
    <w:rPr>
      <w:rFonts w:ascii="仿宋" w:hAnsi="仿宋" w:eastAsia="仿宋_GB2312"/>
      <w:sz w:val="28"/>
    </w:rPr>
  </w:style>
  <w:style w:type="paragraph" w:customStyle="1" w:styleId="41">
    <w:name w:val="图题注"/>
    <w:basedOn w:val="3"/>
    <w:next w:val="1"/>
    <w:uiPriority w:val="99"/>
    <w:pPr>
      <w:keepNext w:val="0"/>
      <w:keepLines w:val="0"/>
      <w:spacing w:before="0" w:after="0" w:line="240" w:lineRule="auto"/>
      <w:jc w:val="center"/>
      <w:outlineLvl w:val="9"/>
    </w:pPr>
    <w:rPr>
      <w:rFonts w:ascii="仿宋" w:hAnsi="仿宋" w:eastAsia="仿宋_GB2312"/>
      <w:b w:val="0"/>
      <w:bCs w:val="0"/>
      <w:kern w:val="0"/>
      <w:sz w:val="24"/>
      <w:szCs w:val="20"/>
    </w:rPr>
  </w:style>
  <w:style w:type="character" w:customStyle="1" w:styleId="42">
    <w:name w:val="标题 1 字符"/>
    <w:basedOn w:val="20"/>
    <w:link w:val="2"/>
    <w:uiPriority w:val="99"/>
    <w:rPr>
      <w:b/>
      <w:bCs/>
      <w:kern w:val="44"/>
      <w:sz w:val="44"/>
      <w:szCs w:val="44"/>
    </w:rPr>
  </w:style>
  <w:style w:type="character" w:customStyle="1" w:styleId="43">
    <w:name w:val="标题 3 字符"/>
    <w:basedOn w:val="20"/>
    <w:link w:val="4"/>
    <w:uiPriority w:val="99"/>
    <w:rPr>
      <w:rFonts w:eastAsia="仿宋_GB2312"/>
      <w:kern w:val="0"/>
      <w:sz w:val="32"/>
      <w:szCs w:val="20"/>
    </w:rPr>
  </w:style>
  <w:style w:type="character" w:customStyle="1" w:styleId="44">
    <w:name w:val="标题 4 字符"/>
    <w:basedOn w:val="20"/>
    <w:link w:val="5"/>
    <w:uiPriority w:val="99"/>
    <w:rPr>
      <w:rFonts w:ascii="Calibri Light" w:hAnsi="Calibri Light" w:eastAsia="仿宋_GB2312"/>
      <w:kern w:val="0"/>
      <w:sz w:val="28"/>
      <w:szCs w:val="20"/>
    </w:rPr>
  </w:style>
  <w:style w:type="character" w:customStyle="1" w:styleId="45">
    <w:name w:val="批注文字 字符"/>
    <w:semiHidden/>
    <w:qFormat/>
    <w:locked/>
    <w:uiPriority w:val="99"/>
    <w:rPr>
      <w:rFonts w:ascii="仿宋" w:hAnsi="仿宋" w:eastAsia="仿宋_GB2312" w:cs="宋体"/>
      <w:kern w:val="2"/>
      <w:sz w:val="21"/>
      <w:szCs w:val="21"/>
    </w:rPr>
  </w:style>
  <w:style w:type="character" w:customStyle="1" w:styleId="46">
    <w:name w:val="批注主题 字符"/>
    <w:link w:val="17"/>
    <w:semiHidden/>
    <w:qFormat/>
    <w:locked/>
    <w:uiPriority w:val="99"/>
    <w:rPr>
      <w:rFonts w:ascii="仿宋" w:hAnsi="仿宋" w:eastAsia="仿宋_GB2312" w:cs="宋体"/>
      <w:b/>
      <w:bCs/>
      <w:szCs w:val="21"/>
    </w:rPr>
  </w:style>
  <w:style w:type="character" w:customStyle="1" w:styleId="47">
    <w:name w:val="标题 字符"/>
    <w:link w:val="16"/>
    <w:qFormat/>
    <w:locked/>
    <w:uiPriority w:val="99"/>
    <w:rPr>
      <w:rFonts w:ascii="仿宋" w:hAnsi="仿宋" w:eastAsia="黑体"/>
      <w:b/>
      <w:sz w:val="32"/>
    </w:rPr>
  </w:style>
  <w:style w:type="character" w:customStyle="1" w:styleId="48">
    <w:name w:val="批注框文本 字符"/>
    <w:basedOn w:val="20"/>
    <w:link w:val="10"/>
    <w:semiHidden/>
    <w:uiPriority w:val="0"/>
    <w:rPr>
      <w:rFonts w:ascii="仿宋" w:hAnsi="仿宋" w:eastAsia="仿宋_GB2312" w:cs="宋体"/>
      <w:sz w:val="18"/>
      <w:szCs w:val="18"/>
    </w:rPr>
  </w:style>
  <w:style w:type="character" w:customStyle="1" w:styleId="49">
    <w:name w:val="标题 字符1"/>
    <w:basedOn w:val="20"/>
    <w:uiPriority w:val="0"/>
    <w:rPr>
      <w:rFonts w:asciiTheme="majorHAnsi" w:hAnsiTheme="majorHAnsi" w:eastAsiaTheme="majorEastAsia" w:cstheme="majorBidi"/>
      <w:b/>
      <w:bCs/>
      <w:sz w:val="32"/>
      <w:szCs w:val="32"/>
    </w:rPr>
  </w:style>
  <w:style w:type="character" w:customStyle="1" w:styleId="50">
    <w:name w:val="批注文字 字符1"/>
    <w:basedOn w:val="20"/>
    <w:link w:val="7"/>
    <w:semiHidden/>
    <w:uiPriority w:val="99"/>
  </w:style>
  <w:style w:type="character" w:customStyle="1" w:styleId="51">
    <w:name w:val="批注主题 字符1"/>
    <w:basedOn w:val="50"/>
    <w:semiHidden/>
    <w:uiPriority w:val="99"/>
    <w:rPr>
      <w:b/>
      <w:bCs/>
    </w:rPr>
  </w:style>
  <w:style w:type="paragraph" w:customStyle="1" w:styleId="52">
    <w:name w:val="加粗"/>
    <w:basedOn w:val="1"/>
    <w:next w:val="1"/>
    <w:uiPriority w:val="99"/>
    <w:pPr>
      <w:spacing w:line="560" w:lineRule="exact"/>
      <w:ind w:firstLine="420" w:firstLineChars="200"/>
      <w:jc w:val="left"/>
    </w:pPr>
    <w:rPr>
      <w:rFonts w:ascii="仿宋" w:hAnsi="仿宋" w:eastAsia="仿宋_GB2312" w:cs="宋体"/>
      <w:b/>
      <w:sz w:val="28"/>
      <w:szCs w:val="21"/>
    </w:rPr>
  </w:style>
  <w:style w:type="paragraph" w:customStyle="1" w:styleId="53">
    <w:name w:val="目录"/>
    <w:basedOn w:val="1"/>
    <w:uiPriority w:val="99"/>
    <w:pPr>
      <w:spacing w:line="560" w:lineRule="exact"/>
      <w:jc w:val="left"/>
    </w:pPr>
    <w:rPr>
      <w:rFonts w:ascii="仿宋" w:hAnsi="仿宋" w:eastAsia="仿宋_GB2312" w:cs="宋体"/>
      <w:sz w:val="28"/>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emf"/><Relationship Id="rId8" Type="http://schemas.openxmlformats.org/officeDocument/2006/relationships/theme" Target="theme/theme1.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media/image11.jpe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jpe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emf"/><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4"/>
    <customShpInfo spid="_x0000_s2053"/>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45</Pages>
  <Words>3227</Words>
  <Characters>18398</Characters>
  <Lines>153</Lines>
  <Paragraphs>43</Paragraphs>
  <TotalTime>138</TotalTime>
  <ScaleCrop>false</ScaleCrop>
  <LinksUpToDate>false</LinksUpToDate>
  <CharactersWithSpaces>21582</CharactersWithSpaces>
  <Application>WPS Office_11.1.0.9175_F1E327BC-269C-435d-A152-05C5408002CA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2019-11-01T13:32:00Z</dcterms:created>
  <dc:creator>Windows 用户</dc:creator>
  <cp:lastModifiedBy>Bella</cp:lastModifiedBy>
  <dcterms:modified xsi:type="dcterms:W3CDTF">2019-11-10T03:01:44Z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2052-11.1.0.9175</vt:lpwstr>
  </property>
</Properties>
</file>